
<file path=[Content_Types].xml><?xml version="1.0" encoding="utf-8"?>
<Types xmlns="http://schemas.openxmlformats.org/package/2006/content-types">
  <Default ContentType="application/xml" Extension="xml"/>
  <Default ContentType="application/vnd.openxmlformats-package.relationships+xml" Extension="rels"/>
  <Override ContentType="application/xml" PartName="/customXML/item1.xml"/>
  <Override ContentType="application/vnd.openxmlformats-officedocument.wordprocessingml.styles+xml" PartName="/word/styles.xml"/>
  <Override ContentType="application/vnd.openxmlformats-officedocument.wordprocessingml.fontTable+xml" PartName="/word/fontTable.xml"/>
  <Override ContentType="application/vnd.openxmlformats-package.core-properties+xml" PartName="/docProps/core.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customXmlProperties+xml" PartName="/customXML/itemProps1.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commentsExtended+xml" PartName="/word/commentsExtended.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3545.0" w:type="dxa"/>
        <w:jc w:val="left"/>
        <w:tblLayout w:type="fixed"/>
        <w:tblLook w:val="0000"/>
      </w:tblPr>
      <w:tblGrid>
        <w:gridCol w:w="570"/>
        <w:gridCol w:w="1155"/>
        <w:gridCol w:w="1395"/>
        <w:gridCol w:w="5025"/>
        <w:gridCol w:w="5400"/>
        <w:tblGridChange w:id="0">
          <w:tblGrid>
            <w:gridCol w:w="570"/>
            <w:gridCol w:w="1155"/>
            <w:gridCol w:w="1395"/>
            <w:gridCol w:w="5025"/>
            <w:gridCol w:w="5400"/>
          </w:tblGrid>
        </w:tblGridChange>
      </w:tblGrid>
      <w:tr>
        <w:trPr>
          <w:cantSplit w:val="0"/>
          <w:trHeight w:val="510" w:hRule="atLeast"/>
          <w:tblHeader w:val="1"/>
        </w:trPr>
        <w:tc>
          <w:tcPr>
            <w:tcBorders>
              <w:top w:color="000000" w:space="0" w:sz="4" w:val="single"/>
              <w:left w:color="000000" w:space="0" w:sz="4" w:val="single"/>
              <w:bottom w:color="000000" w:space="0" w:sz="4" w:val="single"/>
              <w:right w:color="000000" w:space="0" w:sz="4" w:val="single"/>
            </w:tcBorders>
            <w:shd w:fill="fff2cc" w:val="clear"/>
          </w:tcPr>
          <w:p w:rsidR="00000000" w:rsidDel="00000000" w:rsidP="00000000" w:rsidRDefault="00000000" w:rsidRPr="00000000" w14:paraId="00000002">
            <w:pPr>
              <w:jc w:val="center"/>
              <w:rPr>
                <w:rFonts w:ascii="Arial" w:cs="Arial" w:eastAsia="Arial" w:hAnsi="Arial"/>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2cc" w:val="clear"/>
            <w:tcMar>
              <w:top w:w="15.0" w:type="dxa"/>
              <w:left w:w="15.0" w:type="dxa"/>
              <w:bottom w:w="0.0" w:type="dxa"/>
              <w:right w:w="15.0" w:type="dxa"/>
            </w:tcMar>
            <w:vAlign w:val="center"/>
          </w:tcPr>
          <w:p w:rsidR="00000000" w:rsidDel="00000000" w:rsidP="00000000" w:rsidRDefault="00000000" w:rsidRPr="00000000" w14:paraId="00000003">
            <w:pPr>
              <w:jc w:val="center"/>
              <w:rPr>
                <w:rFonts w:ascii="Arial" w:cs="Arial" w:eastAsia="Arial" w:hAnsi="Arial"/>
                <w:b w:val="1"/>
              </w:rPr>
            </w:pPr>
            <w:r w:rsidDel="00000000" w:rsidR="00000000" w:rsidRPr="00000000">
              <w:rPr>
                <w:rFonts w:ascii="Arial" w:cs="Arial" w:eastAsia="Arial" w:hAnsi="Arial"/>
                <w:b w:val="1"/>
                <w:rtl w:val="0"/>
              </w:rPr>
              <w:t xml:space="preserve">MCO Name</w:t>
            </w:r>
          </w:p>
        </w:tc>
        <w:tc>
          <w:tcPr>
            <w:tcBorders>
              <w:top w:color="000000" w:space="0" w:sz="4" w:val="single"/>
              <w:left w:color="000000" w:space="0" w:sz="0" w:val="nil"/>
              <w:bottom w:color="000000" w:space="0" w:sz="4" w:val="single"/>
              <w:right w:color="000000" w:space="0" w:sz="4" w:val="single"/>
            </w:tcBorders>
            <w:shd w:fill="fff2cc" w:val="clear"/>
            <w:vAlign w:val="center"/>
          </w:tcPr>
          <w:p w:rsidR="00000000" w:rsidDel="00000000" w:rsidP="00000000" w:rsidRDefault="00000000" w:rsidRPr="00000000" w14:paraId="00000004">
            <w:pPr>
              <w:jc w:val="center"/>
              <w:rPr>
                <w:rFonts w:ascii="Arial" w:cs="Arial" w:eastAsia="Arial" w:hAnsi="Arial"/>
                <w:b w:val="1"/>
              </w:rPr>
            </w:pPr>
            <w:r w:rsidDel="00000000" w:rsidR="00000000" w:rsidRPr="00000000">
              <w:rPr>
                <w:rFonts w:ascii="Arial" w:cs="Arial" w:eastAsia="Arial" w:hAnsi="Arial"/>
                <w:b w:val="1"/>
                <w:rtl w:val="0"/>
              </w:rPr>
              <w:t xml:space="preserve">Section  #</w:t>
            </w:r>
          </w:p>
        </w:tc>
        <w:tc>
          <w:tcPr>
            <w:tcBorders>
              <w:top w:color="000000" w:space="0" w:sz="4" w:val="single"/>
              <w:left w:color="000000" w:space="0" w:sz="4" w:val="single"/>
              <w:bottom w:color="000000" w:space="0" w:sz="4" w:val="single"/>
              <w:right w:color="000000" w:space="0" w:sz="4" w:val="single"/>
            </w:tcBorders>
            <w:shd w:fill="fff2cc" w:val="clear"/>
            <w:tcMar>
              <w:top w:w="15.0" w:type="dxa"/>
              <w:left w:w="15.0" w:type="dxa"/>
              <w:bottom w:w="0.0" w:type="dxa"/>
              <w:right w:w="15.0" w:type="dxa"/>
            </w:tcMar>
            <w:vAlign w:val="center"/>
          </w:tcPr>
          <w:p w:rsidR="00000000" w:rsidDel="00000000" w:rsidP="00000000" w:rsidRDefault="00000000" w:rsidRPr="00000000" w14:paraId="00000005">
            <w:pPr>
              <w:pStyle w:val="Heading2"/>
              <w:rPr/>
            </w:pPr>
            <w:r w:rsidDel="00000000" w:rsidR="00000000" w:rsidRPr="00000000">
              <w:rPr>
                <w:rtl w:val="0"/>
              </w:rPr>
              <w:t xml:space="preserve">Issue/Concern</w:t>
            </w:r>
          </w:p>
        </w:tc>
        <w:tc>
          <w:tcPr>
            <w:tcBorders>
              <w:top w:color="000000" w:space="0" w:sz="4" w:val="single"/>
              <w:left w:color="000000" w:space="0" w:sz="0" w:val="nil"/>
              <w:bottom w:color="000000" w:space="0" w:sz="4" w:val="single"/>
              <w:right w:color="000000" w:space="0" w:sz="4" w:val="single"/>
            </w:tcBorders>
            <w:shd w:fill="fff2cc" w:val="clear"/>
            <w:tcMar>
              <w:top w:w="15.0" w:type="dxa"/>
              <w:left w:w="15.0" w:type="dxa"/>
              <w:bottom w:w="0.0" w:type="dxa"/>
              <w:right w:w="15.0" w:type="dxa"/>
            </w:tcMar>
            <w:vAlign w:val="center"/>
          </w:tcPr>
          <w:p w:rsidR="00000000" w:rsidDel="00000000" w:rsidP="00000000" w:rsidRDefault="00000000" w:rsidRPr="00000000" w14:paraId="00000006">
            <w:pPr>
              <w:pStyle w:val="Heading2"/>
              <w:rPr/>
            </w:pPr>
            <w:r w:rsidDel="00000000" w:rsidR="00000000" w:rsidRPr="00000000">
              <w:rPr>
                <w:rtl w:val="0"/>
              </w:rPr>
              <w:t xml:space="preserve">Proposed Solution or </w:t>
            </w:r>
          </w:p>
          <w:p w:rsidR="00000000" w:rsidDel="00000000" w:rsidP="00000000" w:rsidRDefault="00000000" w:rsidRPr="00000000" w14:paraId="00000007">
            <w:pPr>
              <w:pStyle w:val="Heading2"/>
              <w:rPr/>
            </w:pPr>
            <w:r w:rsidDel="00000000" w:rsidR="00000000" w:rsidRPr="00000000">
              <w:rPr>
                <w:rtl w:val="0"/>
              </w:rPr>
              <w:t xml:space="preserve">Language Change</w:t>
            </w:r>
          </w:p>
        </w:tc>
      </w:tr>
      <w:tr>
        <w:trPr>
          <w:cantSplit w:val="0"/>
          <w:trHeight w:val="1249.921875" w:hRule="atLeast"/>
          <w:tblHeader w:val="0"/>
        </w:trPr>
        <w:tc>
          <w:tcPr>
            <w:vMerge w:val="restart"/>
            <w:tcBorders>
              <w:top w:color="000000" w:space="0" w:sz="4" w:val="single"/>
              <w:left w:color="000000" w:space="0" w:sz="4" w:val="single"/>
              <w:bottom w:color="000000" w:space="0" w:sz="4" w:val="single"/>
              <w:right w:color="000000" w:space="0" w:sz="4" w:val="single"/>
            </w:tcBorders>
            <w:shd w:fill="efefef" w:val="clear"/>
          </w:tcPr>
          <w:p w:rsidR="00000000" w:rsidDel="00000000" w:rsidP="00000000" w:rsidRDefault="00000000" w:rsidRPr="00000000" w14:paraId="00000008">
            <w:pPr>
              <w:pStyle w:val="Heading1"/>
              <w:numPr>
                <w:ilvl w:val="0"/>
                <w:numId w:val="12"/>
              </w:numPr>
              <w:ind w:left="504" w:hanging="360"/>
              <w:rPr>
                <w:i w:val="0"/>
                <w:sz w:val="22"/>
                <w:szCs w:val="22"/>
              </w:rPr>
            </w:pP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shd w:fill="efefef" w:val="clear"/>
            <w:tcMar>
              <w:top w:w="15.0" w:type="dxa"/>
              <w:left w:w="15.0" w:type="dxa"/>
              <w:bottom w:w="0.0" w:type="dxa"/>
              <w:right w:w="15.0" w:type="dxa"/>
            </w:tcMar>
            <w:vAlign w:val="center"/>
          </w:tcPr>
          <w:p w:rsidR="00000000" w:rsidDel="00000000" w:rsidP="00000000" w:rsidRDefault="00000000" w:rsidRPr="00000000" w14:paraId="00000009">
            <w:pPr>
              <w:pStyle w:val="Heading1"/>
              <w:rPr/>
            </w:pPr>
            <w:r w:rsidDel="00000000" w:rsidR="00000000" w:rsidRPr="00000000">
              <w:rPr>
                <w:rtl w:val="0"/>
              </w:rPr>
            </w:r>
          </w:p>
        </w:tc>
        <w:tc>
          <w:tcPr>
            <w:vMerge w:val="restart"/>
            <w:tcBorders>
              <w:top w:color="000000" w:space="0" w:sz="4" w:val="single"/>
              <w:left w:color="000000" w:space="0" w:sz="0" w:val="nil"/>
              <w:bottom w:color="000000" w:space="0" w:sz="4" w:val="single"/>
              <w:right w:color="000000" w:space="0" w:sz="4" w:val="single"/>
            </w:tcBorders>
            <w:shd w:fill="efefef" w:val="clear"/>
            <w:vAlign w:val="center"/>
          </w:tcPr>
          <w:p w:rsidR="00000000" w:rsidDel="00000000" w:rsidP="00000000" w:rsidRDefault="00000000" w:rsidRPr="00000000" w14:paraId="0000000A">
            <w:pPr>
              <w:rPr/>
            </w:pPr>
            <w:r w:rsidDel="00000000" w:rsidR="00000000" w:rsidRPr="00000000">
              <w:rPr>
                <w:rtl w:val="0"/>
              </w:rPr>
              <w:t xml:space="preserve">8.1.31 (UMCC), 8.1.3.4 (SK) Tele Access</w:t>
            </w:r>
          </w:p>
        </w:tc>
        <w:tc>
          <w:tcPr>
            <w:tcBorders>
              <w:top w:color="000000" w:space="0" w:sz="4" w:val="single"/>
              <w:left w:color="000000" w:space="0" w:sz="4" w:val="single"/>
              <w:bottom w:color="000000" w:space="0" w:sz="4" w:val="single"/>
              <w:right w:color="000000" w:space="0" w:sz="4" w:val="single"/>
            </w:tcBorders>
            <w:shd w:fill="efefef" w:val="clear"/>
            <w:tcMar>
              <w:top w:w="15.0" w:type="dxa"/>
              <w:left w:w="15.0" w:type="dxa"/>
              <w:bottom w:w="0.0" w:type="dxa"/>
              <w:right w:w="15.0" w:type="dxa"/>
            </w:tcMar>
            <w:vAlign w:val="center"/>
          </w:tcPr>
          <w:p w:rsidR="00000000" w:rsidDel="00000000" w:rsidP="00000000" w:rsidRDefault="00000000" w:rsidRPr="00000000" w14:paraId="0000000B">
            <w:pPr>
              <w:ind w:left="0" w:firstLine="0"/>
              <w:rPr/>
            </w:pPr>
            <w:r w:rsidDel="00000000" w:rsidR="00000000" w:rsidRPr="00000000">
              <w:rPr>
                <w:rtl w:val="0"/>
              </w:rPr>
              <w:t xml:space="preserve">1. Can you verify that pharmacy and telepharmacy consultations are current services? </w:t>
            </w:r>
          </w:p>
          <w:p w:rsidR="00000000" w:rsidDel="00000000" w:rsidP="00000000" w:rsidRDefault="00000000" w:rsidRPr="00000000" w14:paraId="0000000C">
            <w:pPr>
              <w:numPr>
                <w:ilvl w:val="0"/>
                <w:numId w:val="18"/>
              </w:numPr>
              <w:ind w:left="720" w:hanging="360"/>
            </w:pPr>
            <w:r w:rsidDel="00000000" w:rsidR="00000000" w:rsidRPr="00000000">
              <w:rPr>
                <w:rtl w:val="0"/>
              </w:rPr>
              <w:t xml:space="preserve">If so, which codes are covered?</w:t>
            </w:r>
          </w:p>
          <w:p w:rsidR="00000000" w:rsidDel="00000000" w:rsidP="00000000" w:rsidRDefault="00000000" w:rsidRPr="00000000" w14:paraId="0000000D">
            <w:pPr>
              <w:ind w:left="0" w:firstLine="0"/>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efefef" w:val="clear"/>
            <w:tcMar>
              <w:top w:w="15.0" w:type="dxa"/>
              <w:left w:w="15.0" w:type="dxa"/>
              <w:bottom w:w="0.0" w:type="dxa"/>
              <w:right w:w="15.0" w:type="dxa"/>
            </w:tcMar>
            <w:vAlign w:val="center"/>
          </w:tcPr>
          <w:p w:rsidR="00000000" w:rsidDel="00000000" w:rsidP="00000000" w:rsidRDefault="00000000" w:rsidRPr="00000000" w14:paraId="0000000E">
            <w:pPr>
              <w:ind w:left="0" w:firstLine="0"/>
              <w:rPr/>
            </w:pPr>
            <w:r w:rsidDel="00000000" w:rsidR="00000000" w:rsidRPr="00000000">
              <w:rPr>
                <w:rtl w:val="0"/>
              </w:rPr>
              <w:t xml:space="preserve">1. Verify telepharmacy and pharmacy consultation CPT codes, supply a list of covered codes.  </w:t>
            </w:r>
          </w:p>
          <w:p w:rsidR="00000000" w:rsidDel="00000000" w:rsidP="00000000" w:rsidRDefault="00000000" w:rsidRPr="00000000" w14:paraId="0000000F">
            <w:pPr>
              <w:ind w:left="0" w:firstLine="0"/>
              <w:rPr/>
            </w:pPr>
            <w:r w:rsidDel="00000000" w:rsidR="00000000" w:rsidRPr="00000000">
              <w:rPr>
                <w:rtl w:val="0"/>
              </w:rPr>
            </w:r>
          </w:p>
          <w:p w:rsidR="00000000" w:rsidDel="00000000" w:rsidP="00000000" w:rsidRDefault="00000000" w:rsidRPr="00000000" w14:paraId="00000010">
            <w:pPr>
              <w:ind w:left="0" w:firstLine="0"/>
              <w:rPr/>
            </w:pPr>
            <w:r w:rsidDel="00000000" w:rsidR="00000000" w:rsidRPr="00000000">
              <w:rPr>
                <w:rtl w:val="0"/>
              </w:rPr>
            </w:r>
          </w:p>
        </w:tc>
      </w:tr>
      <w:tr>
        <w:trPr>
          <w:cantSplit w:val="0"/>
          <w:trHeight w:val="1249.921875" w:hRule="atLeast"/>
          <w:tblHeader w:val="0"/>
        </w:trPr>
        <w:tc>
          <w:tcPr>
            <w:vMerge w:val="continue"/>
            <w:tcBorders>
              <w:top w:color="000000" w:space="0" w:sz="4" w:val="single"/>
              <w:left w:color="000000" w:space="0" w:sz="4" w:val="single"/>
              <w:bottom w:color="000000" w:space="0" w:sz="4" w:val="single"/>
              <w:right w:color="000000" w:space="0" w:sz="4" w:val="single"/>
            </w:tcBorders>
            <w:shd w:fill="efefef" w:val="clear"/>
          </w:tcPr>
          <w:p w:rsidR="00000000" w:rsidDel="00000000" w:rsidP="00000000" w:rsidRDefault="00000000" w:rsidRPr="00000000" w14:paraId="00000011">
            <w:pPr>
              <w:spacing w:after="0" w:before="0" w:line="240" w:lineRule="auto"/>
              <w:ind w:left="0" w:firstLine="0"/>
              <w:rPr>
                <w:i w:val="0"/>
                <w:sz w:val="22"/>
                <w:szCs w:val="22"/>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efefef" w:val="clear"/>
            <w:tcMar>
              <w:top w:w="15.0" w:type="dxa"/>
              <w:left w:w="15.0" w:type="dxa"/>
              <w:bottom w:w="0.0" w:type="dxa"/>
              <w:right w:w="15.0" w:type="dxa"/>
            </w:tcMar>
            <w:vAlign w:val="center"/>
          </w:tcPr>
          <w:p w:rsidR="00000000" w:rsidDel="00000000" w:rsidP="00000000" w:rsidRDefault="00000000" w:rsidRPr="00000000" w14:paraId="00000012">
            <w:pPr>
              <w:spacing w:after="0" w:before="0" w:line="240" w:lineRule="auto"/>
              <w:ind w:left="0" w:firstLine="0"/>
              <w:rPr/>
            </w:pPr>
            <w:r w:rsidDel="00000000" w:rsidR="00000000" w:rsidRPr="00000000">
              <w:rPr>
                <w:rtl w:val="0"/>
              </w:rPr>
            </w:r>
          </w:p>
        </w:tc>
        <w:tc>
          <w:tcPr>
            <w:vMerge w:val="continue"/>
            <w:tcBorders>
              <w:top w:color="000000" w:space="0" w:sz="4" w:val="single"/>
              <w:left w:color="000000" w:space="0" w:sz="0" w:val="nil"/>
              <w:bottom w:color="000000" w:space="0" w:sz="4" w:val="single"/>
              <w:right w:color="000000" w:space="0" w:sz="4" w:val="single"/>
            </w:tcBorders>
            <w:shd w:fill="efefef" w:val="clear"/>
            <w:vAlign w:val="center"/>
          </w:tcPr>
          <w:p w:rsidR="00000000" w:rsidDel="00000000" w:rsidP="00000000" w:rsidRDefault="00000000" w:rsidRPr="00000000" w14:paraId="00000013">
            <w:pPr>
              <w:spacing w:after="0" w:before="0" w:line="240" w:lineRule="auto"/>
              <w:ind w:left="0" w:firstLine="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fefef" w:val="clear"/>
            <w:tcMar>
              <w:top w:w="15.0" w:type="dxa"/>
              <w:left w:w="15.0" w:type="dxa"/>
              <w:bottom w:w="0.0" w:type="dxa"/>
              <w:right w:w="15.0" w:type="dxa"/>
            </w:tcMar>
            <w:vAlign w:val="center"/>
          </w:tcPr>
          <w:p w:rsidR="00000000" w:rsidDel="00000000" w:rsidP="00000000" w:rsidRDefault="00000000" w:rsidRPr="00000000" w14:paraId="00000014">
            <w:pPr>
              <w:rPr/>
            </w:pPr>
            <w:r w:rsidDel="00000000" w:rsidR="00000000" w:rsidRPr="00000000">
              <w:rPr>
                <w:rtl w:val="0"/>
              </w:rPr>
              <w:t xml:space="preserve">2. Telepharmacy can’t be billed through the pharmacy benefit because the pharmacy industry doesn’t support this capability. These services would have to be billed through the medical benefit.  </w:t>
            </w:r>
          </w:p>
        </w:tc>
        <w:tc>
          <w:tcPr>
            <w:tcBorders>
              <w:top w:color="000000" w:space="0" w:sz="4" w:val="single"/>
              <w:left w:color="000000" w:space="0" w:sz="0" w:val="nil"/>
              <w:bottom w:color="000000" w:space="0" w:sz="4" w:val="single"/>
              <w:right w:color="000000" w:space="0" w:sz="4" w:val="single"/>
            </w:tcBorders>
            <w:shd w:fill="efefef" w:val="clear"/>
            <w:tcMar>
              <w:top w:w="15.0" w:type="dxa"/>
              <w:left w:w="15.0" w:type="dxa"/>
              <w:bottom w:w="0.0" w:type="dxa"/>
              <w:right w:w="15.0" w:type="dxa"/>
            </w:tcMar>
            <w:vAlign w:val="center"/>
          </w:tcPr>
          <w:p w:rsidR="00000000" w:rsidDel="00000000" w:rsidP="00000000" w:rsidRDefault="00000000" w:rsidRPr="00000000" w14:paraId="00000015">
            <w:pPr>
              <w:rPr/>
            </w:pPr>
            <w:r w:rsidDel="00000000" w:rsidR="00000000" w:rsidRPr="00000000">
              <w:rPr>
                <w:rtl w:val="0"/>
              </w:rPr>
              <w:t xml:space="preserve">2. Allow telepharmacy to be billed through the medical benefit. </w:t>
            </w:r>
          </w:p>
          <w:p w:rsidR="00000000" w:rsidDel="00000000" w:rsidP="00000000" w:rsidRDefault="00000000" w:rsidRPr="00000000" w14:paraId="00000016">
            <w:pPr>
              <w:numPr>
                <w:ilvl w:val="0"/>
                <w:numId w:val="13"/>
              </w:numPr>
              <w:ind w:left="720" w:hanging="360"/>
            </w:pPr>
            <w:r w:rsidDel="00000000" w:rsidR="00000000" w:rsidRPr="00000000">
              <w:rPr>
                <w:rtl w:val="0"/>
              </w:rPr>
              <w:t xml:space="preserve">Add language in the contracts, or remove telepharmacy from this section. </w:t>
            </w:r>
          </w:p>
        </w:tc>
      </w:tr>
      <w:tr>
        <w:trPr>
          <w:cantSplit w:val="0"/>
          <w:trHeight w:val="2310.859375" w:hRule="atLeast"/>
          <w:tblHeader w:val="0"/>
        </w:trPr>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7">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504"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tcMar>
              <w:top w:w="15.0" w:type="dxa"/>
              <w:left w:w="15.0" w:type="dxa"/>
              <w:bottom w:w="0.0" w:type="dxa"/>
              <w:right w:w="15.0" w:type="dxa"/>
            </w:tcMar>
            <w:vAlign w:val="center"/>
          </w:tcPr>
          <w:p w:rsidR="00000000" w:rsidDel="00000000" w:rsidP="00000000" w:rsidRDefault="00000000" w:rsidRPr="00000000" w14:paraId="00000018">
            <w:pPr>
              <w:rPr>
                <w:rFonts w:ascii="Arial" w:cs="Arial" w:eastAsia="Arial" w:hAnsi="Arial"/>
                <w:sz w:val="22"/>
                <w:szCs w:val="22"/>
              </w:rPr>
            </w:pPr>
            <w:r w:rsidDel="00000000" w:rsidR="00000000" w:rsidRPr="00000000">
              <w:rPr>
                <w:rtl w:val="0"/>
              </w:rPr>
            </w:r>
          </w:p>
        </w:tc>
        <w:tc>
          <w:tcPr>
            <w:vMerge w:val="restart"/>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19">
            <w:pPr>
              <w:rPr/>
            </w:pPr>
            <w:r w:rsidDel="00000000" w:rsidR="00000000" w:rsidRPr="00000000">
              <w:rPr>
                <w:rtl w:val="0"/>
              </w:rPr>
              <w:t xml:space="preserve">8.1.5.3</w:t>
            </w:r>
            <w:r w:rsidDel="00000000" w:rsidR="00000000" w:rsidRPr="00000000">
              <w:rPr>
                <w:rtl w:val="0"/>
              </w:rPr>
              <w:t xml:space="preserve"> M</w:t>
            </w:r>
            <w:r w:rsidDel="00000000" w:rsidR="00000000" w:rsidRPr="00000000">
              <w:rPr>
                <w:rtl w:val="0"/>
              </w:rPr>
              <w:t xml:space="preserve">ember Handbook </w:t>
            </w:r>
          </w:p>
        </w:tc>
        <w:tc>
          <w:tcPr>
            <w:tcBorders>
              <w:top w:color="000000" w:space="0" w:sz="4" w:val="single"/>
              <w:left w:color="000000" w:space="0" w:sz="4" w:val="single"/>
              <w:bottom w:color="000000" w:space="0" w:sz="4" w:val="single"/>
              <w:right w:color="000000" w:space="0" w:sz="4" w:val="single"/>
            </w:tcBorders>
            <w:tcMar>
              <w:top w:w="15.0" w:type="dxa"/>
              <w:left w:w="15.0" w:type="dxa"/>
              <w:bottom w:w="0.0" w:type="dxa"/>
              <w:right w:w="15.0" w:type="dxa"/>
            </w:tcMar>
            <w:vAlign w:val="center"/>
          </w:tcPr>
          <w:p w:rsidR="00000000" w:rsidDel="00000000" w:rsidP="00000000" w:rsidRDefault="00000000" w:rsidRPr="00000000" w14:paraId="0000001A">
            <w:pPr>
              <w:ind w:left="0" w:firstLine="0"/>
              <w:rPr/>
            </w:pPr>
            <w:r w:rsidDel="00000000" w:rsidR="00000000" w:rsidRPr="00000000">
              <w:rPr>
                <w:rtl w:val="0"/>
              </w:rPr>
              <w:t xml:space="preserve">1. Language: “</w:t>
            </w:r>
            <w:r w:rsidDel="00000000" w:rsidR="00000000" w:rsidRPr="00000000">
              <w:rPr>
                <w:color w:val="ff0000"/>
                <w:rtl w:val="0"/>
              </w:rPr>
              <w:t xml:space="preserve">If HHSC notifies the MCO that the change in Covered Services is </w:t>
            </w:r>
            <w:r w:rsidDel="00000000" w:rsidR="00000000" w:rsidRPr="00000000">
              <w:rPr>
                <w:i w:val="1"/>
                <w:color w:val="ff0000"/>
                <w:rtl w:val="0"/>
              </w:rPr>
              <w:t xml:space="preserve">significant</w:t>
            </w:r>
            <w:r w:rsidDel="00000000" w:rsidR="00000000" w:rsidRPr="00000000">
              <w:rPr>
                <w:color w:val="ff0000"/>
                <w:rtl w:val="0"/>
              </w:rPr>
              <w:t xml:space="preserve">, the MCO must notify existing Members…</w:t>
            </w:r>
            <w:r w:rsidDel="00000000" w:rsidR="00000000" w:rsidRPr="00000000">
              <w:rPr>
                <w:rtl w:val="0"/>
              </w:rPr>
              <w:t xml:space="preserve">” </w:t>
            </w:r>
          </w:p>
        </w:tc>
        <w:tc>
          <w:tcPr>
            <w:tcBorders>
              <w:top w:color="000000" w:space="0" w:sz="4" w:val="single"/>
              <w:left w:color="000000" w:space="0" w:sz="0" w:val="nil"/>
              <w:bottom w:color="000000" w:space="0" w:sz="4" w:val="single"/>
              <w:right w:color="000000" w:space="0" w:sz="4" w:val="single"/>
            </w:tcBorders>
            <w:tcMar>
              <w:top w:w="15.0" w:type="dxa"/>
              <w:left w:w="15.0" w:type="dxa"/>
              <w:bottom w:w="0.0" w:type="dxa"/>
              <w:right w:w="15.0" w:type="dxa"/>
            </w:tcMar>
            <w:vAlign w:val="center"/>
          </w:tcPr>
          <w:p w:rsidR="00000000" w:rsidDel="00000000" w:rsidP="00000000" w:rsidRDefault="00000000" w:rsidRPr="00000000" w14:paraId="0000001B">
            <w:pPr>
              <w:ind w:left="0" w:firstLine="0"/>
              <w:rPr/>
            </w:pPr>
            <w:r w:rsidDel="00000000" w:rsidR="00000000" w:rsidRPr="00000000">
              <w:rPr>
                <w:rtl w:val="0"/>
              </w:rPr>
              <w:t xml:space="preserve">1. Recommend defining “significant” in the contracts, and defining parameters around what HHSC considers “significant” </w:t>
            </w:r>
          </w:p>
        </w:tc>
      </w:tr>
      <w:tr>
        <w:trPr>
          <w:cantSplit w:val="0"/>
          <w:trHeight w:val="2310.859375"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15.0" w:type="dxa"/>
              <w:left w:w="15.0" w:type="dxa"/>
              <w:bottom w:w="0.0" w:type="dxa"/>
              <w:right w:w="15.0" w:type="dxa"/>
            </w:tcMar>
            <w:vAlign w:val="center"/>
          </w:tcPr>
          <w:p w:rsidR="00000000" w:rsidDel="00000000" w:rsidP="00000000" w:rsidRDefault="00000000" w:rsidRPr="00000000" w14:paraId="0000001D">
            <w:pPr>
              <w:spacing w:after="0" w:before="0" w:line="240" w:lineRule="auto"/>
              <w:ind w:left="0" w:firstLine="0"/>
              <w:rPr>
                <w:rFonts w:ascii="Arial" w:cs="Arial" w:eastAsia="Arial" w:hAnsi="Arial"/>
                <w:sz w:val="22"/>
                <w:szCs w:val="22"/>
              </w:rPr>
            </w:pPr>
            <w:r w:rsidDel="00000000" w:rsidR="00000000" w:rsidRPr="00000000">
              <w:rPr>
                <w:rtl w:val="0"/>
              </w:rPr>
            </w:r>
          </w:p>
        </w:tc>
        <w:tc>
          <w:tcPr>
            <w:vMerge w:val="continue"/>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1E">
            <w:pPr>
              <w:spacing w:after="0" w:before="0" w:line="240" w:lineRule="auto"/>
              <w:ind w:left="0" w:firstLine="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5.0" w:type="dxa"/>
              <w:left w:w="15.0" w:type="dxa"/>
              <w:bottom w:w="0.0" w:type="dxa"/>
              <w:right w:w="15.0" w:type="dxa"/>
            </w:tcMar>
            <w:vAlign w:val="center"/>
          </w:tcPr>
          <w:p w:rsidR="00000000" w:rsidDel="00000000" w:rsidP="00000000" w:rsidRDefault="00000000" w:rsidRPr="00000000" w14:paraId="0000001F">
            <w:pPr>
              <w:rPr/>
            </w:pPr>
            <w:r w:rsidDel="00000000" w:rsidR="00000000" w:rsidRPr="00000000">
              <w:rPr>
                <w:rtl w:val="0"/>
              </w:rPr>
              <w:t xml:space="preserve">2. Notifying members of ALL changes is too broad and would inundate members with MCO communications. </w:t>
            </w:r>
          </w:p>
          <w:p w:rsidR="00000000" w:rsidDel="00000000" w:rsidP="00000000" w:rsidRDefault="00000000" w:rsidRPr="00000000" w14:paraId="00000020">
            <w:pPr>
              <w:numPr>
                <w:ilvl w:val="0"/>
                <w:numId w:val="10"/>
              </w:numPr>
              <w:ind w:left="720" w:hanging="360"/>
            </w:pPr>
            <w:r w:rsidDel="00000000" w:rsidR="00000000" w:rsidRPr="00000000">
              <w:rPr>
                <w:rtl w:val="0"/>
              </w:rPr>
              <w:t xml:space="preserve">There can be minor updates, such as the addition of a new DME product. </w:t>
            </w:r>
          </w:p>
          <w:p w:rsidR="00000000" w:rsidDel="00000000" w:rsidP="00000000" w:rsidRDefault="00000000" w:rsidRPr="00000000" w14:paraId="00000021">
            <w:pPr>
              <w:numPr>
                <w:ilvl w:val="0"/>
                <w:numId w:val="10"/>
              </w:numPr>
              <w:ind w:left="720" w:hanging="360"/>
            </w:pPr>
            <w:r w:rsidDel="00000000" w:rsidR="00000000" w:rsidRPr="00000000">
              <w:rPr>
                <w:rtl w:val="0"/>
              </w:rPr>
              <w:t xml:space="preserve">Rider 27 of the </w:t>
            </w:r>
            <w:hyperlink r:id="rId9">
              <w:r w:rsidDel="00000000" w:rsidR="00000000" w:rsidRPr="00000000">
                <w:rPr>
                  <w:color w:val="1155cc"/>
                  <w:u w:val="single"/>
                  <w:rtl w:val="0"/>
                </w:rPr>
                <w:t xml:space="preserve">General Appropriations Act</w:t>
              </w:r>
            </w:hyperlink>
            <w:r w:rsidDel="00000000" w:rsidR="00000000" w:rsidRPr="00000000">
              <w:rPr>
                <w:rtl w:val="0"/>
              </w:rPr>
              <w:t xml:space="preserve"> directs HHSC to implement initiatives that “minimize beneficiary and provider abrasion or reduce unnecessary administrative and operational costs...” </w:t>
            </w:r>
          </w:p>
          <w:p w:rsidR="00000000" w:rsidDel="00000000" w:rsidP="00000000" w:rsidRDefault="00000000" w:rsidRPr="00000000" w14:paraId="00000022">
            <w:pPr>
              <w:numPr>
                <w:ilvl w:val="0"/>
                <w:numId w:val="10"/>
              </w:numPr>
              <w:ind w:left="720" w:hanging="360"/>
            </w:pPr>
            <w:r w:rsidDel="00000000" w:rsidR="00000000" w:rsidRPr="00000000">
              <w:rPr>
                <w:rtl w:val="0"/>
              </w:rPr>
              <w:t xml:space="preserve">Rider 27 also directs HHSC to… “Authorize Medicaid and CHIP MCOs to communicate with enrolled members via text messages with member consent.”</w:t>
            </w:r>
          </w:p>
        </w:tc>
        <w:tc>
          <w:tcPr>
            <w:tcBorders>
              <w:top w:color="000000" w:space="0" w:sz="4" w:val="single"/>
              <w:left w:color="000000" w:space="0" w:sz="0" w:val="nil"/>
              <w:bottom w:color="000000" w:space="0" w:sz="4" w:val="single"/>
              <w:right w:color="000000" w:space="0" w:sz="4" w:val="single"/>
            </w:tcBorders>
            <w:tcMar>
              <w:top w:w="15.0" w:type="dxa"/>
              <w:left w:w="15.0" w:type="dxa"/>
              <w:bottom w:w="0.0" w:type="dxa"/>
              <w:right w:w="15.0" w:type="dxa"/>
            </w:tcMar>
            <w:vAlign w:val="center"/>
          </w:tcPr>
          <w:p w:rsidR="00000000" w:rsidDel="00000000" w:rsidP="00000000" w:rsidRDefault="00000000" w:rsidRPr="00000000" w14:paraId="00000023">
            <w:pPr>
              <w:rPr/>
            </w:pPr>
            <w:r w:rsidDel="00000000" w:rsidR="00000000" w:rsidRPr="00000000">
              <w:rPr>
                <w:rtl w:val="0"/>
              </w:rPr>
              <w:t xml:space="preserve">2. Do not require MCOs to notify members of minor changes. </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t xml:space="preserve">2. Allow MCOs to post updates to their member websites/portals.</w:t>
            </w:r>
          </w:p>
          <w:p w:rsidR="00000000" w:rsidDel="00000000" w:rsidP="00000000" w:rsidRDefault="00000000" w:rsidRPr="00000000" w14:paraId="00000026">
            <w:pPr>
              <w:rPr/>
            </w:pPr>
            <w:r w:rsidDel="00000000" w:rsidR="00000000" w:rsidRPr="00000000">
              <w:rPr>
                <w:rtl w:val="0"/>
              </w:rPr>
              <w:t xml:space="preserve"> </w:t>
            </w:r>
          </w:p>
          <w:p w:rsidR="00000000" w:rsidDel="00000000" w:rsidP="00000000" w:rsidRDefault="00000000" w:rsidRPr="00000000" w14:paraId="00000027">
            <w:pPr>
              <w:rPr/>
            </w:pPr>
            <w:r w:rsidDel="00000000" w:rsidR="00000000" w:rsidRPr="00000000">
              <w:rPr>
                <w:rtl w:val="0"/>
              </w:rPr>
              <w:t xml:space="preserve">2. Allow MCOs to text members (in addition to email) if the member consents. </w:t>
            </w:r>
          </w:p>
        </w:tc>
      </w:tr>
      <w:tr>
        <w:trPr>
          <w:cantSplit w:val="0"/>
          <w:trHeight w:val="2310.859375"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15.0" w:type="dxa"/>
              <w:left w:w="15.0" w:type="dxa"/>
              <w:bottom w:w="0.0" w:type="dxa"/>
              <w:right w:w="15.0" w:type="dxa"/>
            </w:tcMar>
            <w:vAlign w:val="center"/>
          </w:tcPr>
          <w:p w:rsidR="00000000" w:rsidDel="00000000" w:rsidP="00000000" w:rsidRDefault="00000000" w:rsidRPr="00000000" w14:paraId="00000029">
            <w:pPr>
              <w:spacing w:after="0" w:before="0" w:line="240" w:lineRule="auto"/>
              <w:ind w:left="0" w:firstLine="0"/>
              <w:rPr>
                <w:rFonts w:ascii="Arial" w:cs="Arial" w:eastAsia="Arial" w:hAnsi="Arial"/>
                <w:sz w:val="22"/>
                <w:szCs w:val="22"/>
              </w:rPr>
            </w:pPr>
            <w:r w:rsidDel="00000000" w:rsidR="00000000" w:rsidRPr="00000000">
              <w:rPr>
                <w:rtl w:val="0"/>
              </w:rPr>
            </w:r>
          </w:p>
        </w:tc>
        <w:tc>
          <w:tcPr>
            <w:vMerge w:val="continue"/>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2A">
            <w:pPr>
              <w:spacing w:after="0" w:before="0" w:line="240" w:lineRule="auto"/>
              <w:ind w:left="0" w:firstLine="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5.0" w:type="dxa"/>
              <w:left w:w="15.0" w:type="dxa"/>
              <w:bottom w:w="0.0" w:type="dxa"/>
              <w:right w:w="15.0" w:type="dxa"/>
            </w:tcMar>
            <w:vAlign w:val="center"/>
          </w:tcPr>
          <w:p w:rsidR="00000000" w:rsidDel="00000000" w:rsidP="00000000" w:rsidRDefault="00000000" w:rsidRPr="00000000" w14:paraId="0000002B">
            <w:pPr>
              <w:rPr/>
            </w:pPr>
            <w:r w:rsidDel="00000000" w:rsidR="00000000" w:rsidRPr="00000000">
              <w:rPr>
                <w:rtl w:val="0"/>
              </w:rPr>
              <w:t xml:space="preserve">3. Concern with cost around sending out frequent member mailings/communications, especially since this update is not needed. </w:t>
            </w:r>
          </w:p>
          <w:p w:rsidR="00000000" w:rsidDel="00000000" w:rsidP="00000000" w:rsidRDefault="00000000" w:rsidRPr="00000000" w14:paraId="0000002C">
            <w:pPr>
              <w:numPr>
                <w:ilvl w:val="0"/>
                <w:numId w:val="11"/>
              </w:numPr>
              <w:ind w:left="720" w:hanging="360"/>
            </w:pPr>
            <w:r w:rsidDel="00000000" w:rsidR="00000000" w:rsidRPr="00000000">
              <w:rPr>
                <w:rtl w:val="0"/>
              </w:rPr>
              <w:t xml:space="preserve">Rider 27 of the </w:t>
            </w:r>
            <w:hyperlink r:id="rId10">
              <w:r w:rsidDel="00000000" w:rsidR="00000000" w:rsidRPr="00000000">
                <w:rPr>
                  <w:color w:val="1155cc"/>
                  <w:u w:val="single"/>
                  <w:rtl w:val="0"/>
                </w:rPr>
                <w:t xml:space="preserve">General Appropriations Act</w:t>
              </w:r>
            </w:hyperlink>
            <w:r w:rsidDel="00000000" w:rsidR="00000000" w:rsidRPr="00000000">
              <w:rPr>
                <w:rtl w:val="0"/>
              </w:rPr>
              <w:t xml:space="preserve"> guides HHSC to implement initiatives that “minimize beneficiary and provider abrasion or reduce unnecessary administrative and operational costs...” </w:t>
            </w:r>
          </w:p>
          <w:p w:rsidR="00000000" w:rsidDel="00000000" w:rsidP="00000000" w:rsidRDefault="00000000" w:rsidRPr="00000000" w14:paraId="0000002D">
            <w:pPr>
              <w:numPr>
                <w:ilvl w:val="0"/>
                <w:numId w:val="11"/>
              </w:numPr>
              <w:ind w:left="720" w:hanging="360"/>
              <w:rPr>
                <w:u w:val="none"/>
              </w:rPr>
            </w:pPr>
            <w:r w:rsidDel="00000000" w:rsidR="00000000" w:rsidRPr="00000000">
              <w:rPr>
                <w:rtl w:val="0"/>
              </w:rPr>
              <w:t xml:space="preserve">Rider 27 also directs HSHC to… “Authorize Medicaid and CHIP MCOs to communicate with enrolled members via text messages with member consent.”</w:t>
            </w:r>
          </w:p>
        </w:tc>
        <w:tc>
          <w:tcPr>
            <w:tcBorders>
              <w:top w:color="000000" w:space="0" w:sz="4" w:val="single"/>
              <w:left w:color="000000" w:space="0" w:sz="0" w:val="nil"/>
              <w:bottom w:color="000000" w:space="0" w:sz="4" w:val="single"/>
              <w:right w:color="000000" w:space="0" w:sz="4" w:val="single"/>
            </w:tcBorders>
            <w:tcMar>
              <w:top w:w="15.0" w:type="dxa"/>
              <w:left w:w="15.0" w:type="dxa"/>
              <w:bottom w:w="0.0" w:type="dxa"/>
              <w:right w:w="15.0" w:type="dxa"/>
            </w:tcMar>
            <w:vAlign w:val="center"/>
          </w:tcPr>
          <w:p w:rsidR="00000000" w:rsidDel="00000000" w:rsidP="00000000" w:rsidRDefault="00000000" w:rsidRPr="00000000" w14:paraId="0000002E">
            <w:pPr>
              <w:rPr/>
            </w:pPr>
            <w:r w:rsidDel="00000000" w:rsidR="00000000" w:rsidRPr="00000000">
              <w:rPr>
                <w:rtl w:val="0"/>
              </w:rPr>
              <w:t xml:space="preserve">3. Allow MCOs to post updates to their member websites/portals. </w:t>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t xml:space="preserve">3. Allow MCOs to text members (in addition to email) if the member consents. </w:t>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t xml:space="preserve">3. If HHSC is requiring an increase in mailed member communications, the plans request justification from HHSC as to: </w:t>
            </w:r>
          </w:p>
          <w:p w:rsidR="00000000" w:rsidDel="00000000" w:rsidP="00000000" w:rsidRDefault="00000000" w:rsidRPr="00000000" w14:paraId="00000033">
            <w:pPr>
              <w:numPr>
                <w:ilvl w:val="0"/>
                <w:numId w:val="6"/>
              </w:numPr>
              <w:ind w:left="720" w:hanging="360"/>
              <w:rPr>
                <w:u w:val="none"/>
              </w:rPr>
            </w:pPr>
            <w:r w:rsidDel="00000000" w:rsidR="00000000" w:rsidRPr="00000000">
              <w:rPr>
                <w:rtl w:val="0"/>
              </w:rPr>
              <w:t xml:space="preserve">Why this update is necessary for appropriate member communication, and </w:t>
            </w:r>
          </w:p>
          <w:p w:rsidR="00000000" w:rsidDel="00000000" w:rsidP="00000000" w:rsidRDefault="00000000" w:rsidRPr="00000000" w14:paraId="00000034">
            <w:pPr>
              <w:numPr>
                <w:ilvl w:val="0"/>
                <w:numId w:val="6"/>
              </w:numPr>
              <w:ind w:left="720" w:hanging="360"/>
              <w:rPr>
                <w:u w:val="none"/>
              </w:rPr>
            </w:pPr>
            <w:sdt>
              <w:sdtPr>
                <w:tag w:val="goog_rdk_0"/>
              </w:sdtPr>
              <w:sdtContent>
                <w:commentRangeStart w:id="0"/>
              </w:sdtContent>
            </w:sdt>
            <w:r w:rsidDel="00000000" w:rsidR="00000000" w:rsidRPr="00000000">
              <w:rPr>
                <w:rtl w:val="0"/>
              </w:rPr>
              <w:t xml:space="preserve">how this request isn’t too costly to require of the plans. </w:t>
            </w:r>
            <w:commentRangeEnd w:id="0"/>
            <w:r w:rsidDel="00000000" w:rsidR="00000000" w:rsidRPr="00000000">
              <w:commentReference w:id="0"/>
            </w:r>
            <w:r w:rsidDel="00000000" w:rsidR="00000000" w:rsidRPr="00000000">
              <w:rPr>
                <w:rtl w:val="0"/>
              </w:rPr>
            </w:r>
          </w:p>
        </w:tc>
      </w:tr>
      <w:tr>
        <w:trPr>
          <w:cantSplit w:val="0"/>
          <w:trHeight w:val="1758.9062500000002" w:hRule="atLeast"/>
          <w:tblHeader w:val="0"/>
        </w:trPr>
        <w:tc>
          <w:tcPr>
            <w:vMerge w:val="restart"/>
            <w:tcBorders>
              <w:top w:color="000000" w:space="0" w:sz="4" w:val="single"/>
              <w:left w:color="000000" w:space="0" w:sz="4" w:val="single"/>
              <w:bottom w:color="000000" w:space="0" w:sz="4" w:val="single"/>
              <w:right w:color="000000" w:space="0" w:sz="4" w:val="single"/>
            </w:tcBorders>
            <w:shd w:fill="efefef" w:val="clear"/>
          </w:tcPr>
          <w:p w:rsidR="00000000" w:rsidDel="00000000" w:rsidP="00000000" w:rsidRDefault="00000000" w:rsidRPr="00000000" w14:paraId="00000035">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504"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shd w:fill="efefef" w:val="clear"/>
            <w:tcMar>
              <w:top w:w="15.0" w:type="dxa"/>
              <w:left w:w="15.0" w:type="dxa"/>
              <w:bottom w:w="0.0" w:type="dxa"/>
              <w:right w:w="15.0" w:type="dxa"/>
            </w:tcMar>
            <w:vAlign w:val="center"/>
          </w:tcPr>
          <w:p w:rsidR="00000000" w:rsidDel="00000000" w:rsidP="00000000" w:rsidRDefault="00000000" w:rsidRPr="00000000" w14:paraId="00000036">
            <w:pPr>
              <w:rPr>
                <w:rFonts w:ascii="Arial" w:cs="Arial" w:eastAsia="Arial" w:hAnsi="Arial"/>
                <w:sz w:val="22"/>
                <w:szCs w:val="22"/>
              </w:rPr>
            </w:pPr>
            <w:r w:rsidDel="00000000" w:rsidR="00000000" w:rsidRPr="00000000">
              <w:rPr>
                <w:rtl w:val="0"/>
              </w:rPr>
            </w:r>
          </w:p>
        </w:tc>
        <w:tc>
          <w:tcPr>
            <w:vMerge w:val="restart"/>
            <w:tcBorders>
              <w:top w:color="000000" w:space="0" w:sz="4" w:val="single"/>
              <w:left w:color="000000" w:space="0" w:sz="0" w:val="nil"/>
              <w:bottom w:color="000000" w:space="0" w:sz="4" w:val="single"/>
              <w:right w:color="000000" w:space="0" w:sz="4" w:val="single"/>
            </w:tcBorders>
            <w:shd w:fill="efefef" w:val="clear"/>
            <w:vAlign w:val="center"/>
          </w:tcPr>
          <w:p w:rsidR="00000000" w:rsidDel="00000000" w:rsidP="00000000" w:rsidRDefault="00000000" w:rsidRPr="00000000" w14:paraId="00000037">
            <w:pPr>
              <w:rPr/>
            </w:pPr>
            <w:r w:rsidDel="00000000" w:rsidR="00000000" w:rsidRPr="00000000">
              <w:rPr>
                <w:rtl w:val="0"/>
              </w:rPr>
              <w:t xml:space="preserve">8.1.9 (SK), 8.1.8 (UMCC) Utilization Management</w:t>
            </w:r>
          </w:p>
        </w:tc>
        <w:tc>
          <w:tcPr>
            <w:tcBorders>
              <w:top w:color="000000" w:space="0" w:sz="4" w:val="single"/>
              <w:left w:color="000000" w:space="0" w:sz="4" w:val="single"/>
              <w:bottom w:color="000000" w:space="0" w:sz="4" w:val="single"/>
              <w:right w:color="000000" w:space="0" w:sz="4" w:val="single"/>
            </w:tcBorders>
            <w:shd w:fill="efefef" w:val="clear"/>
            <w:tcMar>
              <w:top w:w="15.0" w:type="dxa"/>
              <w:left w:w="15.0" w:type="dxa"/>
              <w:bottom w:w="0.0" w:type="dxa"/>
              <w:right w:w="15.0" w:type="dxa"/>
            </w:tcMar>
            <w:vAlign w:val="center"/>
          </w:tcPr>
          <w:p w:rsidR="00000000" w:rsidDel="00000000" w:rsidP="00000000" w:rsidRDefault="00000000" w:rsidRPr="00000000" w14:paraId="00000038">
            <w:pPr>
              <w:rPr/>
            </w:pPr>
            <w:r w:rsidDel="00000000" w:rsidR="00000000" w:rsidRPr="00000000">
              <w:rPr>
                <w:rtl w:val="0"/>
              </w:rPr>
              <w:t xml:space="preserve">1. Language: “</w:t>
            </w:r>
            <w:r w:rsidDel="00000000" w:rsidR="00000000" w:rsidRPr="00000000">
              <w:rPr>
                <w:color w:val="ff0000"/>
                <w:rtl w:val="0"/>
              </w:rPr>
              <w:t xml:space="preserve">the MCO must make prior authorization or service authorization coverage determinations according to the following timelines:</w:t>
            </w:r>
            <w:r w:rsidDel="00000000" w:rsidR="00000000" w:rsidRPr="00000000">
              <w:rPr>
                <w:rtl w:val="0"/>
              </w:rPr>
              <w:t xml:space="preserve">” </w:t>
            </w:r>
          </w:p>
        </w:tc>
        <w:tc>
          <w:tcPr>
            <w:tcBorders>
              <w:top w:color="000000" w:space="0" w:sz="4" w:val="single"/>
              <w:left w:color="000000" w:space="0" w:sz="0" w:val="nil"/>
              <w:bottom w:color="000000" w:space="0" w:sz="4" w:val="single"/>
              <w:right w:color="000000" w:space="0" w:sz="4" w:val="single"/>
            </w:tcBorders>
            <w:shd w:fill="efefef" w:val="clear"/>
            <w:tcMar>
              <w:top w:w="15.0" w:type="dxa"/>
              <w:left w:w="15.0" w:type="dxa"/>
              <w:bottom w:w="0.0" w:type="dxa"/>
              <w:right w:w="15.0" w:type="dxa"/>
            </w:tcMar>
            <w:vAlign w:val="center"/>
          </w:tcPr>
          <w:p w:rsidR="00000000" w:rsidDel="00000000" w:rsidP="00000000" w:rsidRDefault="00000000" w:rsidRPr="00000000" w14:paraId="00000039">
            <w:pPr>
              <w:rPr/>
            </w:pPr>
            <w:r w:rsidDel="00000000" w:rsidR="00000000" w:rsidRPr="00000000">
              <w:rPr>
                <w:rtl w:val="0"/>
              </w:rPr>
              <w:t xml:space="preserve">1. Do not include service authorizations, as this typically refers to authorizations driven off assessments (such as PAS) which have different turnaround times for review. </w:t>
            </w:r>
          </w:p>
          <w:p w:rsidR="00000000" w:rsidDel="00000000" w:rsidP="00000000" w:rsidRDefault="00000000" w:rsidRPr="00000000" w14:paraId="0000003A">
            <w:pPr>
              <w:numPr>
                <w:ilvl w:val="0"/>
                <w:numId w:val="14"/>
              </w:numPr>
              <w:ind w:left="720" w:hanging="360"/>
              <w:rPr>
                <w:u w:val="none"/>
              </w:rPr>
            </w:pPr>
            <w:r w:rsidDel="00000000" w:rsidR="00000000" w:rsidRPr="00000000">
              <w:rPr>
                <w:rtl w:val="0"/>
              </w:rPr>
              <w:t xml:space="preserve">Proposed language: “</w:t>
            </w:r>
            <w:r w:rsidDel="00000000" w:rsidR="00000000" w:rsidRPr="00000000">
              <w:rPr>
                <w:color w:val="ff0000"/>
                <w:rtl w:val="0"/>
              </w:rPr>
              <w:t xml:space="preserve">The MCO must make prior authorization coverage determinations according to the following timelines</w:t>
            </w:r>
            <w:r w:rsidDel="00000000" w:rsidR="00000000" w:rsidRPr="00000000">
              <w:rPr>
                <w:rtl w:val="0"/>
              </w:rPr>
              <w:t xml:space="preserve">…” </w:t>
            </w:r>
          </w:p>
          <w:p w:rsidR="00000000" w:rsidDel="00000000" w:rsidP="00000000" w:rsidRDefault="00000000" w:rsidRPr="00000000" w14:paraId="0000003B">
            <w:pPr>
              <w:ind w:left="0" w:firstLine="0"/>
              <w:rPr/>
            </w:pPr>
            <w:r w:rsidDel="00000000" w:rsidR="00000000" w:rsidRPr="00000000">
              <w:rPr>
                <w:rtl w:val="0"/>
              </w:rPr>
            </w:r>
          </w:p>
        </w:tc>
      </w:tr>
      <w:tr>
        <w:trPr>
          <w:cantSplit w:val="0"/>
          <w:trHeight w:val="1758.9062500000002" w:hRule="atLeast"/>
          <w:tblHeader w:val="0"/>
        </w:trPr>
        <w:tc>
          <w:tcPr>
            <w:vMerge w:val="continue"/>
            <w:tcBorders>
              <w:top w:color="000000" w:space="0" w:sz="4" w:val="single"/>
              <w:left w:color="000000" w:space="0" w:sz="4" w:val="single"/>
              <w:bottom w:color="000000" w:space="0" w:sz="4" w:val="single"/>
              <w:right w:color="000000" w:space="0" w:sz="4" w:val="single"/>
            </w:tcBorders>
            <w:shd w:fill="efefef" w:val="clear"/>
          </w:tcPr>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efefef" w:val="clear"/>
            <w:tcMar>
              <w:top w:w="15.0" w:type="dxa"/>
              <w:left w:w="15.0" w:type="dxa"/>
              <w:bottom w:w="0.0" w:type="dxa"/>
              <w:right w:w="15.0" w:type="dxa"/>
            </w:tcMar>
            <w:vAlign w:val="center"/>
          </w:tcPr>
          <w:p w:rsidR="00000000" w:rsidDel="00000000" w:rsidP="00000000" w:rsidRDefault="00000000" w:rsidRPr="00000000" w14:paraId="0000003D">
            <w:pPr>
              <w:spacing w:after="0" w:before="0" w:line="240" w:lineRule="auto"/>
              <w:ind w:left="0" w:firstLine="0"/>
              <w:rPr>
                <w:rFonts w:ascii="Arial" w:cs="Arial" w:eastAsia="Arial" w:hAnsi="Arial"/>
                <w:sz w:val="22"/>
                <w:szCs w:val="22"/>
              </w:rPr>
            </w:pPr>
            <w:r w:rsidDel="00000000" w:rsidR="00000000" w:rsidRPr="00000000">
              <w:rPr>
                <w:rtl w:val="0"/>
              </w:rPr>
            </w:r>
          </w:p>
        </w:tc>
        <w:tc>
          <w:tcPr>
            <w:vMerge w:val="continue"/>
            <w:tcBorders>
              <w:top w:color="000000" w:space="0" w:sz="4" w:val="single"/>
              <w:left w:color="000000" w:space="0" w:sz="0" w:val="nil"/>
              <w:bottom w:color="000000" w:space="0" w:sz="4" w:val="single"/>
              <w:right w:color="000000" w:space="0" w:sz="4" w:val="single"/>
            </w:tcBorders>
            <w:shd w:fill="efefef" w:val="clear"/>
            <w:vAlign w:val="center"/>
          </w:tcPr>
          <w:p w:rsidR="00000000" w:rsidDel="00000000" w:rsidP="00000000" w:rsidRDefault="00000000" w:rsidRPr="00000000" w14:paraId="0000003E">
            <w:pPr>
              <w:spacing w:after="0" w:before="0" w:line="240" w:lineRule="auto"/>
              <w:ind w:left="0" w:firstLine="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fefef" w:val="clear"/>
            <w:tcMar>
              <w:top w:w="15.0" w:type="dxa"/>
              <w:left w:w="15.0" w:type="dxa"/>
              <w:bottom w:w="0.0" w:type="dxa"/>
              <w:right w:w="15.0" w:type="dxa"/>
            </w:tcMar>
            <w:vAlign w:val="center"/>
          </w:tcPr>
          <w:p w:rsidR="00000000" w:rsidDel="00000000" w:rsidP="00000000" w:rsidRDefault="00000000" w:rsidRPr="00000000" w14:paraId="0000003F">
            <w:pPr>
              <w:rPr/>
            </w:pPr>
            <w:r w:rsidDel="00000000" w:rsidR="00000000" w:rsidRPr="00000000">
              <w:rPr>
                <w:rtl w:val="0"/>
              </w:rPr>
              <w:t xml:space="preserve">2. Parts of the Texas Insurance Code Chapter 4201 do not apply to Medicaid/CHIP. </w:t>
            </w:r>
          </w:p>
        </w:tc>
        <w:tc>
          <w:tcPr>
            <w:tcBorders>
              <w:top w:color="000000" w:space="0" w:sz="4" w:val="single"/>
              <w:left w:color="000000" w:space="0" w:sz="0" w:val="nil"/>
              <w:bottom w:color="000000" w:space="0" w:sz="4" w:val="single"/>
              <w:right w:color="000000" w:space="0" w:sz="4" w:val="single"/>
            </w:tcBorders>
            <w:shd w:fill="efefef" w:val="clear"/>
            <w:tcMar>
              <w:top w:w="15.0" w:type="dxa"/>
              <w:left w:w="15.0" w:type="dxa"/>
              <w:bottom w:w="0.0" w:type="dxa"/>
              <w:right w:w="15.0" w:type="dxa"/>
            </w:tcMar>
            <w:vAlign w:val="center"/>
          </w:tcPr>
          <w:p w:rsidR="00000000" w:rsidDel="00000000" w:rsidP="00000000" w:rsidRDefault="00000000" w:rsidRPr="00000000" w14:paraId="00000040">
            <w:pPr>
              <w:rPr/>
            </w:pPr>
            <w:r w:rsidDel="00000000" w:rsidR="00000000" w:rsidRPr="00000000">
              <w:rPr>
                <w:rtl w:val="0"/>
              </w:rPr>
              <w:t xml:space="preserve">2. Narrow applicability to what the Insurance Code says is applicable to Medicaid. See </w:t>
            </w:r>
            <w:hyperlink r:id="rId11">
              <w:r w:rsidDel="00000000" w:rsidR="00000000" w:rsidRPr="00000000">
                <w:rPr>
                  <w:color w:val="1155cc"/>
                  <w:u w:val="single"/>
                  <w:rtl w:val="0"/>
                </w:rPr>
                <w:t xml:space="preserve">Sec. 4201.053</w:t>
              </w:r>
            </w:hyperlink>
            <w:r w:rsidDel="00000000" w:rsidR="00000000" w:rsidRPr="00000000">
              <w:rPr>
                <w:rtl w:val="0"/>
              </w:rPr>
              <w:t xml:space="preserve">. </w:t>
            </w:r>
          </w:p>
          <w:p w:rsidR="00000000" w:rsidDel="00000000" w:rsidP="00000000" w:rsidRDefault="00000000" w:rsidRPr="00000000" w14:paraId="00000041">
            <w:pPr>
              <w:numPr>
                <w:ilvl w:val="0"/>
                <w:numId w:val="1"/>
              </w:numPr>
              <w:ind w:left="720" w:hanging="360"/>
            </w:pPr>
            <w:r w:rsidDel="00000000" w:rsidR="00000000" w:rsidRPr="00000000">
              <w:rPr>
                <w:rtl w:val="0"/>
              </w:rPr>
              <w:t xml:space="preserve">Proposed language: “</w:t>
            </w:r>
            <w:r w:rsidDel="00000000" w:rsidR="00000000" w:rsidRPr="00000000">
              <w:rPr>
                <w:color w:val="ff0000"/>
                <w:rtl w:val="0"/>
              </w:rPr>
              <w:t xml:space="preserve">The MCO must comply with the requirements of… as well as applicable requirements of the Texas Insurance Code Chapter 4201, as outlined in </w:t>
            </w:r>
            <w:r w:rsidDel="00000000" w:rsidR="00000000" w:rsidRPr="00000000">
              <w:rPr>
                <w:color w:val="ff0000"/>
                <w:rtl w:val="0"/>
              </w:rPr>
              <w:t xml:space="preserve">Section</w:t>
            </w:r>
            <w:r w:rsidDel="00000000" w:rsidR="00000000" w:rsidRPr="00000000">
              <w:rPr>
                <w:color w:val="ff0000"/>
                <w:rtl w:val="0"/>
              </w:rPr>
              <w:t xml:space="preserve"> 4201.053</w:t>
            </w:r>
            <w:r w:rsidDel="00000000" w:rsidR="00000000" w:rsidRPr="00000000">
              <w:rPr>
                <w:rtl w:val="0"/>
              </w:rPr>
              <w:t xml:space="preserve">…”</w:t>
            </w:r>
            <w:r w:rsidDel="00000000" w:rsidR="00000000" w:rsidRPr="00000000">
              <w:rPr>
                <w:rtl w:val="0"/>
              </w:rPr>
            </w:r>
          </w:p>
        </w:tc>
      </w:tr>
      <w:tr>
        <w:trPr>
          <w:cantSplit w:val="0"/>
          <w:trHeight w:val="1758.9062500000002" w:hRule="atLeast"/>
          <w:tblHeader w:val="0"/>
        </w:trPr>
        <w:tc>
          <w:tcPr>
            <w:vMerge w:val="continue"/>
            <w:tcBorders>
              <w:top w:color="000000" w:space="0" w:sz="4" w:val="single"/>
              <w:left w:color="000000" w:space="0" w:sz="4" w:val="single"/>
              <w:bottom w:color="000000" w:space="0" w:sz="4" w:val="single"/>
              <w:right w:color="000000" w:space="0" w:sz="4" w:val="single"/>
            </w:tcBorders>
            <w:shd w:fill="efefef" w:val="clear"/>
          </w:tcPr>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efefef" w:val="clear"/>
            <w:tcMar>
              <w:top w:w="15.0" w:type="dxa"/>
              <w:left w:w="15.0" w:type="dxa"/>
              <w:bottom w:w="0.0" w:type="dxa"/>
              <w:right w:w="15.0" w:type="dxa"/>
            </w:tcMar>
            <w:vAlign w:val="center"/>
          </w:tcPr>
          <w:p w:rsidR="00000000" w:rsidDel="00000000" w:rsidP="00000000" w:rsidRDefault="00000000" w:rsidRPr="00000000" w14:paraId="00000043">
            <w:pPr>
              <w:spacing w:after="0" w:before="0" w:line="240" w:lineRule="auto"/>
              <w:ind w:left="0" w:firstLine="0"/>
              <w:rPr>
                <w:rFonts w:ascii="Arial" w:cs="Arial" w:eastAsia="Arial" w:hAnsi="Arial"/>
                <w:sz w:val="22"/>
                <w:szCs w:val="22"/>
              </w:rPr>
            </w:pPr>
            <w:r w:rsidDel="00000000" w:rsidR="00000000" w:rsidRPr="00000000">
              <w:rPr>
                <w:rtl w:val="0"/>
              </w:rPr>
            </w:r>
          </w:p>
        </w:tc>
        <w:tc>
          <w:tcPr>
            <w:vMerge w:val="continue"/>
            <w:tcBorders>
              <w:top w:color="000000" w:space="0" w:sz="4" w:val="single"/>
              <w:left w:color="000000" w:space="0" w:sz="0" w:val="nil"/>
              <w:bottom w:color="000000" w:space="0" w:sz="4" w:val="single"/>
              <w:right w:color="000000" w:space="0" w:sz="4" w:val="single"/>
            </w:tcBorders>
            <w:shd w:fill="efefef" w:val="clear"/>
            <w:vAlign w:val="center"/>
          </w:tcPr>
          <w:p w:rsidR="00000000" w:rsidDel="00000000" w:rsidP="00000000" w:rsidRDefault="00000000" w:rsidRPr="00000000" w14:paraId="00000044">
            <w:pPr>
              <w:spacing w:after="0" w:before="0" w:line="240" w:lineRule="auto"/>
              <w:ind w:left="0" w:firstLine="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fefef" w:val="clear"/>
            <w:tcMar>
              <w:top w:w="15.0" w:type="dxa"/>
              <w:left w:w="15.0" w:type="dxa"/>
              <w:bottom w:w="0.0" w:type="dxa"/>
              <w:right w:w="15.0" w:type="dxa"/>
            </w:tcMar>
            <w:vAlign w:val="center"/>
          </w:tcPr>
          <w:p w:rsidR="00000000" w:rsidDel="00000000" w:rsidP="00000000" w:rsidRDefault="00000000" w:rsidRPr="00000000" w14:paraId="00000045">
            <w:pPr>
              <w:rPr/>
            </w:pPr>
            <w:r w:rsidDel="00000000" w:rsidR="00000000" w:rsidRPr="00000000">
              <w:rPr>
                <w:rtl w:val="0"/>
              </w:rPr>
              <w:t xml:space="preserve">3. Language: “</w:t>
            </w:r>
            <w:r w:rsidDel="00000000" w:rsidR="00000000" w:rsidRPr="00000000">
              <w:rPr>
                <w:color w:val="ff0000"/>
                <w:rtl w:val="0"/>
              </w:rPr>
              <w:t xml:space="preserve">UMCM 3.2: Requires MCOs to send Provider/Member notices no later than </w:t>
            </w:r>
            <w:r w:rsidDel="00000000" w:rsidR="00000000" w:rsidRPr="00000000">
              <w:rPr>
                <w:i w:val="1"/>
                <w:color w:val="ff0000"/>
                <w:rtl w:val="0"/>
              </w:rPr>
              <w:t xml:space="preserve">one Business Day</w:t>
            </w:r>
            <w:r w:rsidDel="00000000" w:rsidR="00000000" w:rsidRPr="00000000">
              <w:rPr>
                <w:color w:val="ff0000"/>
                <w:rtl w:val="0"/>
              </w:rPr>
              <w:t xml:space="preserve"> from the MCO making a UM determination</w:t>
            </w:r>
            <w:r w:rsidDel="00000000" w:rsidR="00000000" w:rsidRPr="00000000">
              <w:rPr>
                <w:rtl w:val="0"/>
              </w:rPr>
              <w:t xml:space="preserve">.”</w:t>
            </w:r>
          </w:p>
          <w:p w:rsidR="00000000" w:rsidDel="00000000" w:rsidP="00000000" w:rsidRDefault="00000000" w:rsidRPr="00000000" w14:paraId="00000046">
            <w:pPr>
              <w:numPr>
                <w:ilvl w:val="0"/>
                <w:numId w:val="2"/>
              </w:numPr>
              <w:ind w:left="720" w:hanging="360"/>
            </w:pPr>
            <w:r w:rsidDel="00000000" w:rsidR="00000000" w:rsidRPr="00000000">
              <w:rPr>
                <w:rtl w:val="0"/>
              </w:rPr>
              <w:t xml:space="preserve">UMCM 3.2 states: “</w:t>
            </w:r>
            <w:r w:rsidDel="00000000" w:rsidR="00000000" w:rsidRPr="00000000">
              <w:rPr>
                <w:color w:val="ff0000"/>
                <w:rtl w:val="0"/>
              </w:rPr>
              <w:t xml:space="preserve">The MCO must send both Member and Provider a written notice of final determination no later than </w:t>
            </w:r>
            <w:r w:rsidDel="00000000" w:rsidR="00000000" w:rsidRPr="00000000">
              <w:rPr>
                <w:i w:val="1"/>
                <w:color w:val="ff0000"/>
                <w:rtl w:val="0"/>
              </w:rPr>
              <w:t xml:space="preserve">the next Business Day</w:t>
            </w:r>
            <w:r w:rsidDel="00000000" w:rsidR="00000000" w:rsidRPr="00000000">
              <w:rPr>
                <w:color w:val="ff0000"/>
                <w:rtl w:val="0"/>
              </w:rPr>
              <w:t xml:space="preserve"> after a determination is made on a prior authorization request.</w:t>
            </w:r>
            <w:r w:rsidDel="00000000" w:rsidR="00000000" w:rsidRPr="00000000">
              <w:rPr>
                <w:rtl w:val="0"/>
              </w:rPr>
              <w:t xml:space="preserve">”</w:t>
            </w:r>
          </w:p>
        </w:tc>
        <w:tc>
          <w:tcPr>
            <w:tcBorders>
              <w:top w:color="000000" w:space="0" w:sz="4" w:val="single"/>
              <w:left w:color="000000" w:space="0" w:sz="0" w:val="nil"/>
              <w:bottom w:color="000000" w:space="0" w:sz="4" w:val="single"/>
              <w:right w:color="000000" w:space="0" w:sz="4" w:val="single"/>
            </w:tcBorders>
            <w:shd w:fill="efefef" w:val="clear"/>
            <w:tcMar>
              <w:top w:w="15.0" w:type="dxa"/>
              <w:left w:w="15.0" w:type="dxa"/>
              <w:bottom w:w="0.0" w:type="dxa"/>
              <w:right w:w="15.0" w:type="dxa"/>
            </w:tcMar>
            <w:vAlign w:val="center"/>
          </w:tcPr>
          <w:p w:rsidR="00000000" w:rsidDel="00000000" w:rsidP="00000000" w:rsidRDefault="00000000" w:rsidRPr="00000000" w14:paraId="00000047">
            <w:pPr>
              <w:rPr/>
            </w:pPr>
            <w:r w:rsidDel="00000000" w:rsidR="00000000" w:rsidRPr="00000000">
              <w:rPr>
                <w:rtl w:val="0"/>
              </w:rPr>
              <w:t xml:space="preserve">3. Align language with the UMCM. </w:t>
            </w:r>
          </w:p>
          <w:p w:rsidR="00000000" w:rsidDel="00000000" w:rsidP="00000000" w:rsidRDefault="00000000" w:rsidRPr="00000000" w14:paraId="00000048">
            <w:pPr>
              <w:numPr>
                <w:ilvl w:val="0"/>
                <w:numId w:val="5"/>
              </w:numPr>
              <w:ind w:left="720" w:hanging="360"/>
            </w:pPr>
            <w:r w:rsidDel="00000000" w:rsidR="00000000" w:rsidRPr="00000000">
              <w:rPr>
                <w:rtl w:val="0"/>
              </w:rPr>
              <w:t xml:space="preserve">Proposed language: “</w:t>
            </w:r>
            <w:r w:rsidDel="00000000" w:rsidR="00000000" w:rsidRPr="00000000">
              <w:rPr>
                <w:color w:val="ff0000"/>
                <w:rtl w:val="0"/>
              </w:rPr>
              <w:t xml:space="preserve">UMCM 3.2: Requires MCOs to send Provider/Member notices no later than </w:t>
            </w:r>
            <w:r w:rsidDel="00000000" w:rsidR="00000000" w:rsidRPr="00000000">
              <w:rPr>
                <w:i w:val="1"/>
                <w:color w:val="ff0000"/>
                <w:rtl w:val="0"/>
              </w:rPr>
              <w:t xml:space="preserve">the next Business Day</w:t>
            </w:r>
            <w:r w:rsidDel="00000000" w:rsidR="00000000" w:rsidRPr="00000000">
              <w:rPr>
                <w:color w:val="ff0000"/>
                <w:rtl w:val="0"/>
              </w:rPr>
              <w:t xml:space="preserve"> from the MCO making a UM determination.</w:t>
            </w:r>
            <w:r w:rsidDel="00000000" w:rsidR="00000000" w:rsidRPr="00000000">
              <w:rPr>
                <w:rtl w:val="0"/>
              </w:rPr>
              <w:t xml:space="preserve">” </w:t>
            </w:r>
          </w:p>
        </w:tc>
      </w:tr>
      <w:tr>
        <w:trPr>
          <w:cantSplit w:val="0"/>
          <w:trHeight w:val="4017.6" w:hRule="atLeast"/>
          <w:tblHeader w:val="0"/>
        </w:trPr>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9">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504"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tcMar>
              <w:top w:w="15.0" w:type="dxa"/>
              <w:left w:w="15.0" w:type="dxa"/>
              <w:bottom w:w="0.0" w:type="dxa"/>
              <w:right w:w="15.0" w:type="dxa"/>
            </w:tcMar>
            <w:vAlign w:val="center"/>
          </w:tcPr>
          <w:p w:rsidR="00000000" w:rsidDel="00000000" w:rsidP="00000000" w:rsidRDefault="00000000" w:rsidRPr="00000000" w14:paraId="0000004A">
            <w:pPr>
              <w:rPr>
                <w:rFonts w:ascii="Arial" w:cs="Arial" w:eastAsia="Arial" w:hAnsi="Arial"/>
                <w:sz w:val="22"/>
                <w:szCs w:val="22"/>
              </w:rPr>
            </w:pPr>
            <w:r w:rsidDel="00000000" w:rsidR="00000000" w:rsidRPr="00000000">
              <w:rPr>
                <w:rtl w:val="0"/>
              </w:rPr>
            </w:r>
          </w:p>
        </w:tc>
        <w:tc>
          <w:tcPr>
            <w:vMerge w:val="restart"/>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4B">
            <w:pPr>
              <w:rPr>
                <w:rFonts w:ascii="Arial" w:cs="Arial" w:eastAsia="Arial" w:hAnsi="Arial"/>
                <w:sz w:val="22"/>
                <w:szCs w:val="22"/>
              </w:rPr>
            </w:pPr>
            <w:r w:rsidDel="00000000" w:rsidR="00000000" w:rsidRPr="00000000">
              <w:rPr>
                <w:rtl w:val="0"/>
              </w:rPr>
              <w:t xml:space="preserve">8.1.19.2 (UMCC), 8.1.21.2 (SK) General requests for and access to data, records, and other information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5.0" w:type="dxa"/>
              <w:left w:w="15.0" w:type="dxa"/>
              <w:bottom w:w="0.0" w:type="dxa"/>
              <w:right w:w="15.0" w:type="dxa"/>
            </w:tcMar>
            <w:vAlign w:val="center"/>
          </w:tcPr>
          <w:p w:rsidR="00000000" w:rsidDel="00000000" w:rsidP="00000000" w:rsidRDefault="00000000" w:rsidRPr="00000000" w14:paraId="0000004C">
            <w:pPr>
              <w:rPr/>
            </w:pPr>
            <w:r w:rsidDel="00000000" w:rsidR="00000000" w:rsidRPr="00000000">
              <w:rPr>
                <w:rtl w:val="0"/>
              </w:rPr>
              <w:t xml:space="preserve">1. Concerns around the MCO providing “</w:t>
            </w:r>
            <w:r w:rsidDel="00000000" w:rsidR="00000000" w:rsidRPr="00000000">
              <w:rPr>
                <w:color w:val="ff0000"/>
                <w:rtl w:val="0"/>
              </w:rPr>
              <w:t xml:space="preserve">complete and unredacted</w:t>
            </w:r>
            <w:r w:rsidDel="00000000" w:rsidR="00000000" w:rsidRPr="00000000">
              <w:rPr>
                <w:rtl w:val="0"/>
              </w:rPr>
              <w:t xml:space="preserve">” originals or copies of all records or information requested by the OIG, HHSC, its authorized agents, or other units of state government. </w:t>
            </w:r>
          </w:p>
          <w:p w:rsidR="00000000" w:rsidDel="00000000" w:rsidP="00000000" w:rsidRDefault="00000000" w:rsidRPr="00000000" w14:paraId="0000004D">
            <w:pPr>
              <w:numPr>
                <w:ilvl w:val="0"/>
                <w:numId w:val="7"/>
              </w:numPr>
              <w:ind w:left="720" w:hanging="360"/>
              <w:rPr>
                <w:u w:val="none"/>
              </w:rPr>
            </w:pPr>
            <w:r w:rsidDel="00000000" w:rsidR="00000000" w:rsidRPr="00000000">
              <w:rPr>
                <w:rtl w:val="0"/>
              </w:rPr>
              <w:t xml:space="preserve">This is an overreach. For example, there are multiple members on some remittances, and not all may be a part of the OIG’s case. Information on other members would need to be redacted to protect those members’ privacy. See </w:t>
            </w:r>
            <w:hyperlink r:id="rId12">
              <w:r w:rsidDel="00000000" w:rsidR="00000000" w:rsidRPr="00000000">
                <w:rPr>
                  <w:color w:val="1155cc"/>
                  <w:u w:val="single"/>
                  <w:rtl w:val="0"/>
                </w:rPr>
                <w:t xml:space="preserve">CFR 438.100 (a)(b)(ii)</w:t>
              </w:r>
            </w:hyperlink>
            <w:r w:rsidDel="00000000" w:rsidR="00000000" w:rsidRPr="00000000">
              <w:rPr>
                <w:rtl w:val="0"/>
              </w:rPr>
              <w:t xml:space="preserve">. </w:t>
            </w:r>
          </w:p>
          <w:p w:rsidR="00000000" w:rsidDel="00000000" w:rsidP="00000000" w:rsidRDefault="00000000" w:rsidRPr="00000000" w14:paraId="0000004E">
            <w:pPr>
              <w:numPr>
                <w:ilvl w:val="0"/>
                <w:numId w:val="7"/>
              </w:numPr>
              <w:ind w:left="720" w:hanging="360"/>
            </w:pPr>
            <w:r w:rsidDel="00000000" w:rsidR="00000000" w:rsidRPr="00000000">
              <w:rPr>
                <w:rtl w:val="0"/>
              </w:rPr>
              <w:t xml:space="preserve">Other information that may need to be redacted to protect privacy include: proprietary information, information on other Lines of Business, from other states, etc. </w:t>
            </w:r>
          </w:p>
        </w:tc>
        <w:tc>
          <w:tcPr>
            <w:tcBorders>
              <w:top w:color="000000" w:space="0" w:sz="4" w:val="single"/>
              <w:left w:color="000000" w:space="0" w:sz="0" w:val="nil"/>
              <w:bottom w:color="000000" w:space="0" w:sz="4" w:val="single"/>
              <w:right w:color="000000" w:space="0" w:sz="4" w:val="single"/>
            </w:tcBorders>
            <w:tcMar>
              <w:top w:w="15.0" w:type="dxa"/>
              <w:left w:w="15.0" w:type="dxa"/>
              <w:bottom w:w="0.0" w:type="dxa"/>
              <w:right w:w="15.0" w:type="dxa"/>
            </w:tcMar>
            <w:vAlign w:val="center"/>
          </w:tcPr>
          <w:p w:rsidR="00000000" w:rsidDel="00000000" w:rsidP="00000000" w:rsidRDefault="00000000" w:rsidRPr="00000000" w14:paraId="0000004F">
            <w:pPr>
              <w:rPr/>
            </w:pPr>
            <w:r w:rsidDel="00000000" w:rsidR="00000000" w:rsidRPr="00000000">
              <w:rPr>
                <w:rtl w:val="0"/>
              </w:rPr>
              <w:t xml:space="preserve">1. Do not make this change. Allow MCOs to supply redacted records, with justification as to why the record was redacted. </w:t>
            </w:r>
          </w:p>
          <w:p w:rsidR="00000000" w:rsidDel="00000000" w:rsidP="00000000" w:rsidRDefault="00000000" w:rsidRPr="00000000" w14:paraId="00000050">
            <w:pPr>
              <w:numPr>
                <w:ilvl w:val="0"/>
                <w:numId w:val="16"/>
              </w:numPr>
              <w:ind w:left="720" w:hanging="360"/>
            </w:pPr>
            <w:r w:rsidDel="00000000" w:rsidR="00000000" w:rsidRPr="00000000">
              <w:rPr>
                <w:rtl w:val="0"/>
              </w:rPr>
              <w:t xml:space="preserve">This will ensure that Member and MCO privacy is protected, and streamline OIG/state reviews as the reviewer would be able to more directly locate and reference applicable information in submitted records. </w:t>
            </w:r>
          </w:p>
        </w:tc>
      </w:tr>
      <w:tr>
        <w:trPr>
          <w:cantSplit w:val="0"/>
          <w:trHeight w:val="4018.2421875"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15.0" w:type="dxa"/>
              <w:left w:w="15.0" w:type="dxa"/>
              <w:bottom w:w="0.0" w:type="dxa"/>
              <w:right w:w="15.0" w:type="dxa"/>
            </w:tcMar>
            <w:vAlign w:val="center"/>
          </w:tcPr>
          <w:p w:rsidR="00000000" w:rsidDel="00000000" w:rsidP="00000000" w:rsidRDefault="00000000" w:rsidRPr="00000000" w14:paraId="00000052">
            <w:pPr>
              <w:spacing w:after="0" w:before="0" w:line="240" w:lineRule="auto"/>
              <w:ind w:left="0" w:firstLine="0"/>
              <w:rPr>
                <w:rFonts w:ascii="Arial" w:cs="Arial" w:eastAsia="Arial" w:hAnsi="Arial"/>
                <w:sz w:val="22"/>
                <w:szCs w:val="22"/>
              </w:rPr>
            </w:pPr>
            <w:r w:rsidDel="00000000" w:rsidR="00000000" w:rsidRPr="00000000">
              <w:rPr>
                <w:rtl w:val="0"/>
              </w:rPr>
            </w:r>
          </w:p>
        </w:tc>
        <w:tc>
          <w:tcPr>
            <w:vMerge w:val="continue"/>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53">
            <w:pPr>
              <w:spacing w:after="0" w:before="0" w:line="240" w:lineRule="auto"/>
              <w:ind w:left="0" w:firstLine="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5.0" w:type="dxa"/>
              <w:left w:w="15.0" w:type="dxa"/>
              <w:bottom w:w="0.0" w:type="dxa"/>
              <w:right w:w="15.0" w:type="dxa"/>
            </w:tcMar>
            <w:vAlign w:val="center"/>
          </w:tcPr>
          <w:p w:rsidR="00000000" w:rsidDel="00000000" w:rsidP="00000000" w:rsidRDefault="00000000" w:rsidRPr="00000000" w14:paraId="00000054">
            <w:pPr>
              <w:rPr/>
            </w:pPr>
            <w:r w:rsidDel="00000000" w:rsidR="00000000" w:rsidRPr="00000000">
              <w:rPr>
                <w:rtl w:val="0"/>
              </w:rPr>
              <w:t xml:space="preserve">2. The document history log states the purpose of this update is “</w:t>
            </w:r>
            <w:r w:rsidDel="00000000" w:rsidR="00000000" w:rsidRPr="00000000">
              <w:rPr>
                <w:color w:val="ff0000"/>
                <w:rtl w:val="0"/>
              </w:rPr>
              <w:t xml:space="preserve">to</w:t>
            </w:r>
            <w:r w:rsidDel="00000000" w:rsidR="00000000" w:rsidRPr="00000000">
              <w:rPr>
                <w:color w:val="ff0000"/>
                <w:rtl w:val="0"/>
              </w:rPr>
              <w:t xml:space="preserve"> ensure OIG has access to complete, unredacted information when that information is used or relied upon by an MCO to support a position</w:t>
            </w:r>
            <w:r w:rsidDel="00000000" w:rsidR="00000000" w:rsidRPr="00000000">
              <w:rPr>
                <w:rtl w:val="0"/>
              </w:rPr>
              <w:t xml:space="preserve">” </w:t>
            </w:r>
          </w:p>
          <w:p w:rsidR="00000000" w:rsidDel="00000000" w:rsidP="00000000" w:rsidRDefault="00000000" w:rsidRPr="00000000" w14:paraId="00000055">
            <w:pPr>
              <w:numPr>
                <w:ilvl w:val="0"/>
                <w:numId w:val="3"/>
              </w:numPr>
              <w:ind w:left="720" w:hanging="360"/>
            </w:pPr>
            <w:r w:rsidDel="00000000" w:rsidR="00000000" w:rsidRPr="00000000">
              <w:rPr>
                <w:rtl w:val="0"/>
              </w:rPr>
              <w:t xml:space="preserve">This amendment is written very broadly; it seems to encompass all MCO records requested by any governmental body for any purpose. </w:t>
            </w:r>
          </w:p>
        </w:tc>
        <w:tc>
          <w:tcPr>
            <w:tcBorders>
              <w:top w:color="000000" w:space="0" w:sz="4" w:val="single"/>
              <w:left w:color="000000" w:space="0" w:sz="0" w:val="nil"/>
              <w:bottom w:color="000000" w:space="0" w:sz="4" w:val="single"/>
              <w:right w:color="000000" w:space="0" w:sz="4" w:val="single"/>
            </w:tcBorders>
            <w:tcMar>
              <w:top w:w="15.0" w:type="dxa"/>
              <w:left w:w="15.0" w:type="dxa"/>
              <w:bottom w:w="0.0" w:type="dxa"/>
              <w:right w:w="15.0" w:type="dxa"/>
            </w:tcMar>
            <w:vAlign w:val="center"/>
          </w:tcPr>
          <w:p w:rsidR="00000000" w:rsidDel="00000000" w:rsidP="00000000" w:rsidRDefault="00000000" w:rsidRPr="00000000" w14:paraId="00000056">
            <w:pPr>
              <w:rPr/>
            </w:pPr>
            <w:r w:rsidDel="00000000" w:rsidR="00000000" w:rsidRPr="00000000">
              <w:rPr>
                <w:rtl w:val="0"/>
              </w:rPr>
              <w:t xml:space="preserve">2. Clarify the intent of this amendment. </w:t>
            </w:r>
          </w:p>
          <w:p w:rsidR="00000000" w:rsidDel="00000000" w:rsidP="00000000" w:rsidRDefault="00000000" w:rsidRPr="00000000" w14:paraId="00000057">
            <w:pPr>
              <w:numPr>
                <w:ilvl w:val="0"/>
                <w:numId w:val="15"/>
              </w:numPr>
              <w:ind w:left="720" w:hanging="360"/>
              <w:rPr>
                <w:u w:val="none"/>
              </w:rPr>
            </w:pPr>
            <w:r w:rsidDel="00000000" w:rsidR="00000000" w:rsidRPr="00000000">
              <w:rPr>
                <w:rtl w:val="0"/>
              </w:rPr>
              <w:t xml:space="preserve">MCOs already supply information that they use or rely upon to support their position. </w:t>
            </w:r>
          </w:p>
          <w:p w:rsidR="00000000" w:rsidDel="00000000" w:rsidP="00000000" w:rsidRDefault="00000000" w:rsidRPr="00000000" w14:paraId="00000058">
            <w:pPr>
              <w:numPr>
                <w:ilvl w:val="0"/>
                <w:numId w:val="15"/>
              </w:numPr>
              <w:ind w:left="720" w:hanging="360"/>
              <w:rPr>
                <w:u w:val="none"/>
              </w:rPr>
            </w:pPr>
            <w:r w:rsidDel="00000000" w:rsidR="00000000" w:rsidRPr="00000000">
              <w:rPr>
                <w:rtl w:val="0"/>
              </w:rPr>
              <w:t xml:space="preserve">If an MCO didn’t use certain information to make a decision and therefore redacted or omitted that information, then why would the OIG need that information, or assume that information is needed? </w:t>
            </w:r>
          </w:p>
          <w:p w:rsidR="00000000" w:rsidDel="00000000" w:rsidP="00000000" w:rsidRDefault="00000000" w:rsidRPr="00000000" w14:paraId="00000059">
            <w:pPr>
              <w:rPr/>
            </w:pPr>
            <w:r w:rsidDel="00000000" w:rsidR="00000000" w:rsidRPr="00000000">
              <w:rPr>
                <w:rtl w:val="0"/>
              </w:rPr>
            </w:r>
          </w:p>
          <w:p w:rsidR="00000000" w:rsidDel="00000000" w:rsidP="00000000" w:rsidRDefault="00000000" w:rsidRPr="00000000" w14:paraId="0000005A">
            <w:pPr>
              <w:rPr/>
            </w:pPr>
            <w:r w:rsidDel="00000000" w:rsidR="00000000" w:rsidRPr="00000000">
              <w:rPr>
                <w:rtl w:val="0"/>
              </w:rPr>
              <w:t xml:space="preserve">2. </w:t>
            </w:r>
            <w:r w:rsidDel="00000000" w:rsidR="00000000" w:rsidRPr="00000000">
              <w:rPr>
                <w:rtl w:val="0"/>
              </w:rPr>
              <w:t xml:space="preserve">If HHSC refuses to remove the “complete, unredacted” requirement, then we request that HHSC narrows the scope of the language to supply “complete, unredacted” records to the OIG only, to align with the stated purpose of the amendment. </w:t>
            </w:r>
            <w:r w:rsidDel="00000000" w:rsidR="00000000" w:rsidRPr="00000000">
              <w:rPr>
                <w:rtl w:val="0"/>
              </w:rPr>
            </w:r>
          </w:p>
        </w:tc>
      </w:tr>
      <w:tr>
        <w:trPr>
          <w:cantSplit w:val="0"/>
          <w:trHeight w:val="510" w:hRule="atLeast"/>
          <w:tblHeader w:val="0"/>
        </w:trPr>
        <w:tc>
          <w:tcPr>
            <w:tcBorders>
              <w:top w:color="000000" w:space="0" w:sz="4" w:val="single"/>
              <w:left w:color="000000" w:space="0" w:sz="4" w:val="single"/>
              <w:bottom w:color="000000" w:space="0" w:sz="4" w:val="single"/>
              <w:right w:color="000000" w:space="0" w:sz="4" w:val="single"/>
            </w:tcBorders>
            <w:shd w:fill="efefef" w:val="clear"/>
          </w:tcPr>
          <w:p w:rsidR="00000000" w:rsidDel="00000000" w:rsidP="00000000" w:rsidRDefault="00000000" w:rsidRPr="00000000" w14:paraId="0000005B">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504"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fefef" w:val="clear"/>
            <w:tcMar>
              <w:top w:w="15.0" w:type="dxa"/>
              <w:left w:w="15.0" w:type="dxa"/>
              <w:bottom w:w="0.0" w:type="dxa"/>
              <w:right w:w="15.0" w:type="dxa"/>
            </w:tcMar>
            <w:vAlign w:val="center"/>
          </w:tcPr>
          <w:p w:rsidR="00000000" w:rsidDel="00000000" w:rsidP="00000000" w:rsidRDefault="00000000" w:rsidRPr="00000000" w14:paraId="0000005C">
            <w:pPr>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efefef" w:val="clear"/>
            <w:vAlign w:val="center"/>
          </w:tcPr>
          <w:p w:rsidR="00000000" w:rsidDel="00000000" w:rsidP="00000000" w:rsidRDefault="00000000" w:rsidRPr="00000000" w14:paraId="0000005D">
            <w:pPr>
              <w:rPr/>
            </w:pPr>
            <w:r w:rsidDel="00000000" w:rsidR="00000000" w:rsidRPr="00000000">
              <w:rPr>
                <w:rtl w:val="0"/>
              </w:rPr>
              <w:t xml:space="preserve">8.1.</w:t>
            </w:r>
            <w:r w:rsidDel="00000000" w:rsidR="00000000" w:rsidRPr="00000000">
              <w:rPr>
                <w:rtl w:val="0"/>
              </w:rPr>
              <w:t xml:space="preserve">19</w:t>
            </w:r>
            <w:r w:rsidDel="00000000" w:rsidR="00000000" w:rsidRPr="00000000">
              <w:rPr>
                <w:rtl w:val="0"/>
              </w:rPr>
              <w:t xml:space="preserve">.3 (UMCC), 8.1.21.3 (SK)  Claims Data Submission Requirements </w:t>
            </w:r>
          </w:p>
        </w:tc>
        <w:tc>
          <w:tcPr>
            <w:tcBorders>
              <w:top w:color="000000" w:space="0" w:sz="4" w:val="single"/>
              <w:left w:color="000000" w:space="0" w:sz="4" w:val="single"/>
              <w:bottom w:color="000000" w:space="0" w:sz="4" w:val="single"/>
              <w:right w:color="000000" w:space="0" w:sz="4" w:val="single"/>
            </w:tcBorders>
            <w:shd w:fill="efefef" w:val="clear"/>
            <w:tcMar>
              <w:top w:w="15.0" w:type="dxa"/>
              <w:left w:w="15.0" w:type="dxa"/>
              <w:bottom w:w="0.0" w:type="dxa"/>
              <w:right w:w="15.0" w:type="dxa"/>
            </w:tcMar>
            <w:vAlign w:val="center"/>
          </w:tcPr>
          <w:p w:rsidR="00000000" w:rsidDel="00000000" w:rsidP="00000000" w:rsidRDefault="00000000" w:rsidRPr="00000000" w14:paraId="0000005E">
            <w:pPr>
              <w:rPr/>
            </w:pPr>
            <w:r w:rsidDel="00000000" w:rsidR="00000000" w:rsidRPr="00000000">
              <w:rPr>
                <w:rtl w:val="0"/>
              </w:rPr>
              <w:t xml:space="preserve">1. Concern around the request for “</w:t>
            </w:r>
            <w:r w:rsidDel="00000000" w:rsidR="00000000" w:rsidRPr="00000000">
              <w:rPr>
                <w:rtl w:val="0"/>
              </w:rPr>
              <w:t xml:space="preserve">complete, unredacted</w:t>
            </w:r>
            <w:r w:rsidDel="00000000" w:rsidR="00000000" w:rsidRPr="00000000">
              <w:rPr>
                <w:rtl w:val="0"/>
              </w:rPr>
              <w:t xml:space="preserve">” records. This is an overreach. </w:t>
            </w:r>
          </w:p>
          <w:p w:rsidR="00000000" w:rsidDel="00000000" w:rsidP="00000000" w:rsidRDefault="00000000" w:rsidRPr="00000000" w14:paraId="0000005F">
            <w:pPr>
              <w:ind w:left="0" w:firstLine="0"/>
              <w:rPr/>
            </w:pPr>
            <w:r w:rsidDel="00000000" w:rsidR="00000000" w:rsidRPr="00000000">
              <w:rPr>
                <w:rtl w:val="0"/>
              </w:rPr>
            </w:r>
          </w:p>
          <w:p w:rsidR="00000000" w:rsidDel="00000000" w:rsidP="00000000" w:rsidRDefault="00000000" w:rsidRPr="00000000" w14:paraId="00000060">
            <w:pPr>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efefef" w:val="clear"/>
            <w:tcMar>
              <w:top w:w="15.0" w:type="dxa"/>
              <w:left w:w="15.0" w:type="dxa"/>
              <w:bottom w:w="0.0" w:type="dxa"/>
              <w:right w:w="15.0" w:type="dxa"/>
            </w:tcMar>
            <w:vAlign w:val="center"/>
          </w:tcPr>
          <w:p w:rsidR="00000000" w:rsidDel="00000000" w:rsidP="00000000" w:rsidRDefault="00000000" w:rsidRPr="00000000" w14:paraId="00000061">
            <w:pPr>
              <w:rPr/>
            </w:pPr>
            <w:r w:rsidDel="00000000" w:rsidR="00000000" w:rsidRPr="00000000">
              <w:rPr>
                <w:rtl w:val="0"/>
              </w:rPr>
              <w:t xml:space="preserve">1. Allow MCOs to submit redacted records, with a justification as to why records were redacted. </w:t>
            </w:r>
          </w:p>
          <w:p w:rsidR="00000000" w:rsidDel="00000000" w:rsidP="00000000" w:rsidRDefault="00000000" w:rsidRPr="00000000" w14:paraId="00000062">
            <w:pPr>
              <w:numPr>
                <w:ilvl w:val="0"/>
                <w:numId w:val="19"/>
              </w:numPr>
              <w:ind w:left="720" w:hanging="360"/>
              <w:rPr>
                <w:u w:val="none"/>
              </w:rPr>
            </w:pPr>
            <w:r w:rsidDel="00000000" w:rsidR="00000000" w:rsidRPr="00000000">
              <w:rPr>
                <w:rtl w:val="0"/>
              </w:rPr>
              <w:t xml:space="preserve">This will protect Member and MCO privacy, and will streamline the state’s review of impacted records. </w:t>
            </w:r>
          </w:p>
        </w:tc>
      </w:tr>
      <w:tr>
        <w:trPr>
          <w:cantSplit w:val="0"/>
          <w:trHeight w:val="2637.3046875" w:hRule="atLeast"/>
          <w:tblHeader w:val="0"/>
        </w:trPr>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3">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504"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tcMar>
              <w:top w:w="15.0" w:type="dxa"/>
              <w:left w:w="15.0" w:type="dxa"/>
              <w:bottom w:w="0.0" w:type="dxa"/>
              <w:right w:w="15.0" w:type="dxa"/>
            </w:tcMar>
            <w:vAlign w:val="center"/>
          </w:tcPr>
          <w:p w:rsidR="00000000" w:rsidDel="00000000" w:rsidP="00000000" w:rsidRDefault="00000000" w:rsidRPr="00000000" w14:paraId="00000064">
            <w:pPr>
              <w:rPr>
                <w:rFonts w:ascii="Arial" w:cs="Arial" w:eastAsia="Arial" w:hAnsi="Arial"/>
                <w:sz w:val="22"/>
                <w:szCs w:val="22"/>
              </w:rPr>
            </w:pPr>
            <w:r w:rsidDel="00000000" w:rsidR="00000000" w:rsidRPr="00000000">
              <w:rPr>
                <w:rtl w:val="0"/>
              </w:rPr>
            </w:r>
          </w:p>
        </w:tc>
        <w:tc>
          <w:tcPr>
            <w:vMerge w:val="restart"/>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65">
            <w:pPr>
              <w:rPr/>
            </w:pPr>
            <w:r w:rsidDel="00000000" w:rsidR="00000000" w:rsidRPr="00000000">
              <w:rPr>
                <w:rtl w:val="0"/>
              </w:rPr>
              <w:t xml:space="preserve">8.1.22 (SK), 8.1.20 (UMCC) Reporting Requirements </w:t>
            </w:r>
          </w:p>
        </w:tc>
        <w:tc>
          <w:tcPr>
            <w:tcBorders>
              <w:top w:color="000000" w:space="0" w:sz="4" w:val="single"/>
              <w:left w:color="000000" w:space="0" w:sz="4" w:val="single"/>
              <w:bottom w:color="000000" w:space="0" w:sz="4" w:val="single"/>
              <w:right w:color="000000" w:space="0" w:sz="4" w:val="single"/>
            </w:tcBorders>
            <w:tcMar>
              <w:top w:w="15.0" w:type="dxa"/>
              <w:left w:w="15.0" w:type="dxa"/>
              <w:bottom w:w="0.0" w:type="dxa"/>
              <w:right w:w="15.0" w:type="dxa"/>
            </w:tcMar>
            <w:vAlign w:val="center"/>
          </w:tcPr>
          <w:p w:rsidR="00000000" w:rsidDel="00000000" w:rsidP="00000000" w:rsidRDefault="00000000" w:rsidRPr="00000000" w14:paraId="00000066">
            <w:pPr>
              <w:rPr/>
            </w:pPr>
            <w:r w:rsidDel="00000000" w:rsidR="00000000" w:rsidRPr="00000000">
              <w:rPr>
                <w:rtl w:val="0"/>
              </w:rPr>
              <w:t xml:space="preserve">1. Language: addition of “</w:t>
            </w:r>
            <w:r w:rsidDel="00000000" w:rsidR="00000000" w:rsidRPr="00000000">
              <w:rPr>
                <w:color w:val="ff0000"/>
                <w:rtl w:val="0"/>
              </w:rPr>
              <w:t xml:space="preserve">Ad hoc reports as requested by HHSC</w:t>
            </w:r>
            <w:r w:rsidDel="00000000" w:rsidR="00000000" w:rsidRPr="00000000">
              <w:rPr>
                <w:rtl w:val="0"/>
              </w:rPr>
              <w:t xml:space="preserve">.” </w:t>
            </w:r>
          </w:p>
        </w:tc>
        <w:tc>
          <w:tcPr>
            <w:tcBorders>
              <w:top w:color="000000" w:space="0" w:sz="4" w:val="single"/>
              <w:left w:color="000000" w:space="0" w:sz="0" w:val="nil"/>
              <w:bottom w:color="000000" w:space="0" w:sz="4" w:val="single"/>
              <w:right w:color="000000" w:space="0" w:sz="4" w:val="single"/>
            </w:tcBorders>
            <w:tcMar>
              <w:top w:w="15.0" w:type="dxa"/>
              <w:left w:w="15.0" w:type="dxa"/>
              <w:bottom w:w="0.0" w:type="dxa"/>
              <w:right w:w="15.0" w:type="dxa"/>
            </w:tcMar>
            <w:vAlign w:val="center"/>
          </w:tcPr>
          <w:p w:rsidR="00000000" w:rsidDel="00000000" w:rsidP="00000000" w:rsidRDefault="00000000" w:rsidRPr="00000000" w14:paraId="00000067">
            <w:pPr>
              <w:rPr/>
            </w:pPr>
            <w:r w:rsidDel="00000000" w:rsidR="00000000" w:rsidRPr="00000000">
              <w:rPr>
                <w:rFonts w:ascii="Arial" w:cs="Arial" w:eastAsia="Arial" w:hAnsi="Arial"/>
                <w:sz w:val="22"/>
                <w:szCs w:val="22"/>
                <w:rtl w:val="0"/>
              </w:rPr>
              <w:t xml:space="preserve">1</w:t>
            </w:r>
            <w:r w:rsidDel="00000000" w:rsidR="00000000" w:rsidRPr="00000000">
              <w:rPr>
                <w:rtl w:val="0"/>
              </w:rPr>
              <w:t xml:space="preserve">. Set parameters around what HHSC considers an ad hoc report. Such as frequency/duration of reports. </w:t>
            </w:r>
          </w:p>
          <w:p w:rsidR="00000000" w:rsidDel="00000000" w:rsidP="00000000" w:rsidRDefault="00000000" w:rsidRPr="00000000" w14:paraId="00000068">
            <w:pPr>
              <w:numPr>
                <w:ilvl w:val="0"/>
                <w:numId w:val="8"/>
              </w:numPr>
              <w:ind w:left="720" w:hanging="360"/>
            </w:pPr>
            <w:r w:rsidDel="00000000" w:rsidR="00000000" w:rsidRPr="00000000">
              <w:rPr>
                <w:rtl w:val="0"/>
              </w:rPr>
              <w:t xml:space="preserve">For example, a report is not considered an ad hoc report if it requires multiple submissions over an extended timeframe.</w:t>
            </w:r>
          </w:p>
        </w:tc>
      </w:tr>
      <w:tr>
        <w:trPr>
          <w:cantSplit w:val="0"/>
          <w:trHeight w:val="2348.64"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15.0" w:type="dxa"/>
              <w:left w:w="15.0" w:type="dxa"/>
              <w:bottom w:w="0.0" w:type="dxa"/>
              <w:right w:w="15.0" w:type="dxa"/>
            </w:tcMar>
            <w:vAlign w:val="center"/>
          </w:tcPr>
          <w:p w:rsidR="00000000" w:rsidDel="00000000" w:rsidP="00000000" w:rsidRDefault="00000000" w:rsidRPr="00000000" w14:paraId="0000006A">
            <w:pPr>
              <w:spacing w:after="0" w:before="0" w:line="240" w:lineRule="auto"/>
              <w:ind w:left="0" w:firstLine="0"/>
              <w:rPr>
                <w:rFonts w:ascii="Arial" w:cs="Arial" w:eastAsia="Arial" w:hAnsi="Arial"/>
                <w:sz w:val="22"/>
                <w:szCs w:val="22"/>
              </w:rPr>
            </w:pPr>
            <w:r w:rsidDel="00000000" w:rsidR="00000000" w:rsidRPr="00000000">
              <w:rPr>
                <w:rtl w:val="0"/>
              </w:rPr>
            </w:r>
          </w:p>
        </w:tc>
        <w:tc>
          <w:tcPr>
            <w:vMerge w:val="continue"/>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6B">
            <w:pPr>
              <w:spacing w:after="0" w:before="0" w:line="240" w:lineRule="auto"/>
              <w:ind w:left="0" w:firstLine="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5.0" w:type="dxa"/>
              <w:left w:w="15.0" w:type="dxa"/>
              <w:bottom w:w="0.0" w:type="dxa"/>
              <w:right w:w="15.0" w:type="dxa"/>
            </w:tcMar>
            <w:vAlign w:val="center"/>
          </w:tcPr>
          <w:p w:rsidR="00000000" w:rsidDel="00000000" w:rsidP="00000000" w:rsidRDefault="00000000" w:rsidRPr="00000000" w14:paraId="0000006C">
            <w:pPr>
              <w:rPr/>
            </w:pPr>
            <w:r w:rsidDel="00000000" w:rsidR="00000000" w:rsidRPr="00000000">
              <w:rPr>
                <w:rtl w:val="0"/>
              </w:rPr>
              <w:t xml:space="preserve">2. Language: “</w:t>
            </w:r>
            <w:r w:rsidDel="00000000" w:rsidR="00000000" w:rsidRPr="00000000">
              <w:rPr>
                <w:color w:val="ff0000"/>
                <w:rtl w:val="0"/>
              </w:rPr>
              <w:t xml:space="preserve">All information must be provided in accordance with the timelines, definitions, formats, and instructions as specified by HHSC. Where practicable, HHSC may consult with the MCO to establish timelines and formats reasonably acceptable to both Parties</w:t>
            </w:r>
            <w:r w:rsidDel="00000000" w:rsidR="00000000" w:rsidRPr="00000000">
              <w:rPr>
                <w:rtl w:val="0"/>
              </w:rPr>
              <w:t xml:space="preserve">.”</w:t>
            </w:r>
          </w:p>
          <w:p w:rsidR="00000000" w:rsidDel="00000000" w:rsidP="00000000" w:rsidRDefault="00000000" w:rsidRPr="00000000" w14:paraId="0000006D">
            <w:pPr>
              <w:numPr>
                <w:ilvl w:val="0"/>
                <w:numId w:val="20"/>
              </w:numPr>
              <w:ind w:left="720" w:hanging="360"/>
            </w:pPr>
            <w:r w:rsidDel="00000000" w:rsidR="00000000" w:rsidRPr="00000000">
              <w:rPr>
                <w:rtl w:val="0"/>
              </w:rPr>
              <w:t xml:space="preserve">As-is, MCOs aren’t always given the time they need to consolidate data needed for HHSC-requested ad hoc reports. They may need to coordinate with several areas, outreach to providers or members, etc. </w:t>
            </w:r>
          </w:p>
          <w:p w:rsidR="00000000" w:rsidDel="00000000" w:rsidP="00000000" w:rsidRDefault="00000000" w:rsidRPr="00000000" w14:paraId="0000006E">
            <w:pPr>
              <w:numPr>
                <w:ilvl w:val="0"/>
                <w:numId w:val="20"/>
              </w:numPr>
              <w:ind w:left="720" w:hanging="360"/>
            </w:pPr>
            <w:r w:rsidDel="00000000" w:rsidR="00000000" w:rsidRPr="00000000">
              <w:rPr>
                <w:rtl w:val="0"/>
              </w:rPr>
              <w:t xml:space="preserve">HHSC should consult with MCOs on what all is needed to compile data for reports to inform the due date, and ensure it’s feasible. </w:t>
            </w:r>
          </w:p>
          <w:p w:rsidR="00000000" w:rsidDel="00000000" w:rsidP="00000000" w:rsidRDefault="00000000" w:rsidRPr="00000000" w14:paraId="0000006F">
            <w:pPr>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tcMar>
              <w:top w:w="15.0" w:type="dxa"/>
              <w:left w:w="15.0" w:type="dxa"/>
              <w:bottom w:w="0.0" w:type="dxa"/>
              <w:right w:w="15.0" w:type="dxa"/>
            </w:tcMar>
            <w:vAlign w:val="center"/>
          </w:tcPr>
          <w:p w:rsidR="00000000" w:rsidDel="00000000" w:rsidP="00000000" w:rsidRDefault="00000000" w:rsidRPr="00000000" w14:paraId="00000070">
            <w:pPr>
              <w:rPr/>
            </w:pPr>
            <w:r w:rsidDel="00000000" w:rsidR="00000000" w:rsidRPr="00000000">
              <w:rPr>
                <w:rtl w:val="0"/>
              </w:rPr>
              <w:t xml:space="preserve">2.  Revise language to: </w:t>
            </w:r>
            <w:r w:rsidDel="00000000" w:rsidR="00000000" w:rsidRPr="00000000">
              <w:rPr>
                <w:strike w:val="1"/>
                <w:color w:val="ff0000"/>
                <w:rtl w:val="0"/>
              </w:rPr>
              <w:t xml:space="preserve">Where practicable,</w:t>
            </w:r>
            <w:r w:rsidDel="00000000" w:rsidR="00000000" w:rsidRPr="00000000">
              <w:rPr>
                <w:color w:val="ff0000"/>
                <w:rtl w:val="0"/>
              </w:rPr>
              <w:t xml:space="preserve"> HHSC </w:t>
            </w:r>
            <w:r w:rsidDel="00000000" w:rsidR="00000000" w:rsidRPr="00000000">
              <w:rPr>
                <w:strike w:val="1"/>
                <w:color w:val="ff0000"/>
                <w:rtl w:val="0"/>
              </w:rPr>
              <w:t xml:space="preserve">may </w:t>
            </w:r>
            <w:r w:rsidDel="00000000" w:rsidR="00000000" w:rsidRPr="00000000">
              <w:rPr>
                <w:color w:val="ff0000"/>
                <w:rtl w:val="0"/>
              </w:rPr>
              <w:t xml:space="preserve">must consult with the MCO to establish timelines and formats reasonably acceptable to both Parties. </w:t>
            </w:r>
            <w:r w:rsidDel="00000000" w:rsidR="00000000" w:rsidRPr="00000000">
              <w:rPr>
                <w:rtl w:val="0"/>
              </w:rPr>
            </w:r>
          </w:p>
          <w:p w:rsidR="00000000" w:rsidDel="00000000" w:rsidP="00000000" w:rsidRDefault="00000000" w:rsidRPr="00000000" w14:paraId="00000071">
            <w:pPr>
              <w:rPr/>
            </w:pPr>
            <w:r w:rsidDel="00000000" w:rsidR="00000000" w:rsidRPr="00000000">
              <w:rPr>
                <w:rtl w:val="0"/>
              </w:rPr>
            </w:r>
          </w:p>
          <w:p w:rsidR="00000000" w:rsidDel="00000000" w:rsidP="00000000" w:rsidRDefault="00000000" w:rsidRPr="00000000" w14:paraId="00000072">
            <w:pPr>
              <w:rPr/>
            </w:pPr>
            <w:r w:rsidDel="00000000" w:rsidR="00000000" w:rsidRPr="00000000">
              <w:rPr>
                <w:rtl w:val="0"/>
              </w:rPr>
              <w:t xml:space="preserve">2. The MCOs should not face penalty if reports aren’t submitted within an HHSC-delineated timeframe if they’ve requested more time, and provide justification as to why more time was needed. </w:t>
            </w:r>
          </w:p>
          <w:p w:rsidR="00000000" w:rsidDel="00000000" w:rsidP="00000000" w:rsidRDefault="00000000" w:rsidRPr="00000000" w14:paraId="00000073">
            <w:pPr>
              <w:numPr>
                <w:ilvl w:val="0"/>
                <w:numId w:val="4"/>
              </w:numPr>
              <w:ind w:left="720" w:hanging="360"/>
              <w:rPr>
                <w:u w:val="none"/>
              </w:rPr>
            </w:pPr>
            <w:r w:rsidDel="00000000" w:rsidR="00000000" w:rsidRPr="00000000">
              <w:rPr>
                <w:rtl w:val="0"/>
              </w:rPr>
              <w:t xml:space="preserve">This will ensure MCOs aren’t forced to rush completion of reports, and have the time they need to compile and check data to ensure accurate submissions. </w:t>
            </w:r>
          </w:p>
        </w:tc>
      </w:tr>
      <w:tr>
        <w:trPr>
          <w:cantSplit w:val="0"/>
          <w:trHeight w:val="2223.33984375" w:hRule="atLeast"/>
          <w:tblHeader w:val="0"/>
        </w:trPr>
        <w:tc>
          <w:tcPr>
            <w:vMerge w:val="restart"/>
            <w:tcBorders>
              <w:top w:color="000000" w:space="0" w:sz="4" w:val="single"/>
              <w:left w:color="000000" w:space="0" w:sz="4" w:val="single"/>
              <w:bottom w:color="000000" w:space="0" w:sz="4" w:val="single"/>
              <w:right w:color="000000" w:space="0" w:sz="4" w:val="single"/>
            </w:tcBorders>
            <w:shd w:fill="efefef" w:val="clear"/>
          </w:tcPr>
          <w:p w:rsidR="00000000" w:rsidDel="00000000" w:rsidP="00000000" w:rsidRDefault="00000000" w:rsidRPr="00000000" w14:paraId="00000074">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504"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shd w:fill="efefef" w:val="clear"/>
            <w:tcMar>
              <w:top w:w="15.0" w:type="dxa"/>
              <w:left w:w="15.0" w:type="dxa"/>
              <w:bottom w:w="0.0" w:type="dxa"/>
              <w:right w:w="15.0" w:type="dxa"/>
            </w:tcMar>
            <w:vAlign w:val="center"/>
          </w:tcPr>
          <w:p w:rsidR="00000000" w:rsidDel="00000000" w:rsidP="00000000" w:rsidRDefault="00000000" w:rsidRPr="00000000" w14:paraId="00000075">
            <w:pPr>
              <w:rPr>
                <w:rFonts w:ascii="Arial" w:cs="Arial" w:eastAsia="Arial" w:hAnsi="Arial"/>
                <w:sz w:val="22"/>
                <w:szCs w:val="22"/>
              </w:rPr>
            </w:pPr>
            <w:r w:rsidDel="00000000" w:rsidR="00000000" w:rsidRPr="00000000">
              <w:rPr>
                <w:rtl w:val="0"/>
              </w:rPr>
            </w:r>
          </w:p>
        </w:tc>
        <w:tc>
          <w:tcPr>
            <w:vMerge w:val="restart"/>
            <w:tcBorders>
              <w:top w:color="000000" w:space="0" w:sz="4" w:val="single"/>
              <w:left w:color="000000" w:space="0" w:sz="0" w:val="nil"/>
              <w:bottom w:color="000000" w:space="0" w:sz="4" w:val="single"/>
              <w:right w:color="000000" w:space="0" w:sz="4" w:val="single"/>
            </w:tcBorders>
            <w:shd w:fill="efefef" w:val="clear"/>
            <w:vAlign w:val="center"/>
          </w:tcPr>
          <w:p w:rsidR="00000000" w:rsidDel="00000000" w:rsidP="00000000" w:rsidRDefault="00000000" w:rsidRPr="00000000" w14:paraId="00000076">
            <w:pPr>
              <w:rPr>
                <w:rFonts w:ascii="Arial" w:cs="Arial" w:eastAsia="Arial" w:hAnsi="Arial"/>
                <w:sz w:val="22"/>
                <w:szCs w:val="22"/>
              </w:rPr>
            </w:pPr>
            <w:r w:rsidDel="00000000" w:rsidR="00000000" w:rsidRPr="00000000">
              <w:rPr>
                <w:rtl w:val="0"/>
              </w:rPr>
              <w:t xml:space="preserve">8.1.24.1 (SK), 8.2.2.1 (UMCC) Emergency Services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fefef" w:val="clear"/>
            <w:tcMar>
              <w:top w:w="15.0" w:type="dxa"/>
              <w:left w:w="15.0" w:type="dxa"/>
              <w:bottom w:w="0.0" w:type="dxa"/>
              <w:right w:w="15.0" w:type="dxa"/>
            </w:tcMar>
            <w:vAlign w:val="center"/>
          </w:tcPr>
          <w:p w:rsidR="00000000" w:rsidDel="00000000" w:rsidP="00000000" w:rsidRDefault="00000000" w:rsidRPr="00000000" w14:paraId="00000077">
            <w:pPr>
              <w:rPr/>
            </w:pPr>
            <w:r w:rsidDel="00000000" w:rsidR="00000000" w:rsidRPr="00000000">
              <w:rPr>
                <w:rFonts w:ascii="Arial" w:cs="Arial" w:eastAsia="Arial" w:hAnsi="Arial"/>
                <w:sz w:val="22"/>
                <w:szCs w:val="22"/>
                <w:rtl w:val="0"/>
              </w:rPr>
              <w:t xml:space="preserve">1. </w:t>
            </w:r>
            <w:r w:rsidDel="00000000" w:rsidR="00000000" w:rsidRPr="00000000">
              <w:rPr>
                <w:rtl w:val="0"/>
              </w:rPr>
              <w:t xml:space="preserve">The omission of the terms “</w:t>
            </w:r>
            <w:r w:rsidDel="00000000" w:rsidR="00000000" w:rsidRPr="00000000">
              <w:rPr>
                <w:color w:val="2e75b5"/>
                <w:rtl w:val="0"/>
              </w:rPr>
              <w:t xml:space="preserve">medically necessary</w:t>
            </w:r>
            <w:r w:rsidDel="00000000" w:rsidR="00000000" w:rsidRPr="00000000">
              <w:rPr>
                <w:rtl w:val="0"/>
              </w:rPr>
              <w:t xml:space="preserve">”</w:t>
            </w:r>
            <w:r w:rsidDel="00000000" w:rsidR="00000000" w:rsidRPr="00000000">
              <w:rPr>
                <w:color w:val="ff0000"/>
                <w:rtl w:val="0"/>
              </w:rPr>
              <w:t xml:space="preserve"> </w:t>
            </w:r>
            <w:r w:rsidDel="00000000" w:rsidR="00000000" w:rsidRPr="00000000">
              <w:rPr>
                <w:rtl w:val="0"/>
              </w:rPr>
              <w:t xml:space="preserve">and “</w:t>
            </w:r>
            <w:r w:rsidDel="00000000" w:rsidR="00000000" w:rsidRPr="00000000">
              <w:rPr>
                <w:color w:val="2e75b5"/>
                <w:rtl w:val="0"/>
              </w:rPr>
              <w:t xml:space="preserve">stabilization,</w:t>
            </w:r>
            <w:r w:rsidDel="00000000" w:rsidR="00000000" w:rsidRPr="00000000">
              <w:rPr>
                <w:rtl w:val="0"/>
              </w:rPr>
              <w:t xml:space="preserve">” implies that all services that are Urgent/Emergent are not able to be reviewed for medical necessity.  </w:t>
            </w:r>
          </w:p>
          <w:p w:rsidR="00000000" w:rsidDel="00000000" w:rsidP="00000000" w:rsidRDefault="00000000" w:rsidRPr="00000000" w14:paraId="00000078">
            <w:pPr>
              <w:numPr>
                <w:ilvl w:val="0"/>
                <w:numId w:val="9"/>
              </w:numPr>
              <w:ind w:left="720" w:hanging="360"/>
              <w:rPr>
                <w:u w:val="none"/>
              </w:rPr>
            </w:pPr>
            <w:r w:rsidDel="00000000" w:rsidR="00000000" w:rsidRPr="00000000">
              <w:rPr>
                <w:rtl w:val="0"/>
              </w:rPr>
              <w:t xml:space="preserve">This would mean that all Behavioral Health admissions are not subject to Utilization Review and that any physical health admission would only be reviewed after the member has stabilized from the initial admitting issue. </w:t>
            </w:r>
          </w:p>
        </w:tc>
        <w:tc>
          <w:tcPr>
            <w:tcBorders>
              <w:top w:color="000000" w:space="0" w:sz="4" w:val="single"/>
              <w:left w:color="000000" w:space="0" w:sz="0" w:val="nil"/>
              <w:bottom w:color="000000" w:space="0" w:sz="4" w:val="single"/>
              <w:right w:color="000000" w:space="0" w:sz="4" w:val="single"/>
            </w:tcBorders>
            <w:shd w:fill="efefef" w:val="clear"/>
            <w:tcMar>
              <w:top w:w="15.0" w:type="dxa"/>
              <w:left w:w="15.0" w:type="dxa"/>
              <w:bottom w:w="0.0" w:type="dxa"/>
              <w:right w:w="15.0" w:type="dxa"/>
            </w:tcMar>
            <w:vAlign w:val="center"/>
          </w:tcPr>
          <w:p w:rsidR="00000000" w:rsidDel="00000000" w:rsidP="00000000" w:rsidRDefault="00000000" w:rsidRPr="00000000" w14:paraId="00000079">
            <w:pPr>
              <w:rPr/>
            </w:pPr>
            <w:r w:rsidDel="00000000" w:rsidR="00000000" w:rsidRPr="00000000">
              <w:rPr>
                <w:rtl w:val="0"/>
              </w:rPr>
              <w:t xml:space="preserve">1. Proposed language: The MCO must pay for the professional, facility, and ancillary services </w:t>
            </w:r>
            <w:r w:rsidDel="00000000" w:rsidR="00000000" w:rsidRPr="00000000">
              <w:rPr>
                <w:rFonts w:ascii="Arial" w:cs="Arial" w:eastAsia="Arial" w:hAnsi="Arial"/>
                <w:i w:val="1"/>
                <w:color w:val="2e75b5"/>
                <w:sz w:val="20"/>
                <w:szCs w:val="20"/>
                <w:rtl w:val="0"/>
              </w:rPr>
              <w:t xml:space="preserve"> </w:t>
            </w:r>
            <w:r w:rsidDel="00000000" w:rsidR="00000000" w:rsidRPr="00000000">
              <w:rPr>
                <w:color w:val="2e75b5"/>
                <w:rtl w:val="0"/>
              </w:rPr>
              <w:t xml:space="preserve">provided for Emergency Services </w:t>
            </w:r>
            <w:r w:rsidDel="00000000" w:rsidR="00000000" w:rsidRPr="00000000">
              <w:rPr>
                <w:strike w:val="1"/>
                <w:color w:val="2e75b5"/>
                <w:rtl w:val="0"/>
              </w:rPr>
              <w:t xml:space="preserve">for any</w:t>
            </w:r>
            <w:r w:rsidDel="00000000" w:rsidR="00000000" w:rsidRPr="00000000">
              <w:rPr>
                <w:color w:val="ff0000"/>
                <w:rtl w:val="0"/>
              </w:rPr>
              <w:t xml:space="preserve"> that are </w:t>
            </w:r>
            <w:r w:rsidDel="00000000" w:rsidR="00000000" w:rsidRPr="00000000">
              <w:rPr>
                <w:color w:val="ff0000"/>
                <w:rtl w:val="0"/>
              </w:rPr>
              <w:t xml:space="preserve">Medically Necessary</w:t>
            </w:r>
            <w:r w:rsidDel="00000000" w:rsidR="00000000" w:rsidRPr="00000000">
              <w:rPr>
                <w:color w:val="ff0000"/>
                <w:rtl w:val="0"/>
              </w:rPr>
              <w:t xml:space="preserve"> to perform the medical screening examination and stabilization of a </w:t>
            </w:r>
            <w:r w:rsidDel="00000000" w:rsidR="00000000" w:rsidRPr="00000000">
              <w:rPr>
                <w:rtl w:val="0"/>
              </w:rPr>
              <w:t xml:space="preserve">Member presenting with an Emergency Medical Condition or an Emergency Behavioral Health Condition </w:t>
            </w:r>
            <w:r w:rsidDel="00000000" w:rsidR="00000000" w:rsidRPr="00000000">
              <w:rPr>
                <w:strike w:val="1"/>
                <w:color w:val="2e75b5"/>
                <w:rtl w:val="0"/>
              </w:rPr>
              <w:t xml:space="preserve">to the Hospital emergency department, 24 hours a day, 7 Days a week, </w:t>
            </w:r>
            <w:r w:rsidDel="00000000" w:rsidR="00000000" w:rsidRPr="00000000">
              <w:rPr>
                <w:color w:val="2e75b5"/>
                <w:u w:val="single"/>
                <w:rtl w:val="0"/>
              </w:rPr>
              <w:t xml:space="preserve">whether</w:t>
            </w:r>
            <w:r w:rsidDel="00000000" w:rsidR="00000000" w:rsidRPr="00000000">
              <w:rPr>
                <w:color w:val="2e75b5"/>
                <w:rtl w:val="0"/>
              </w:rPr>
              <w:t xml:space="preserve"> </w:t>
            </w:r>
            <w:r w:rsidDel="00000000" w:rsidR="00000000" w:rsidRPr="00000000">
              <w:rPr>
                <w:rtl w:val="0"/>
              </w:rPr>
              <w:t xml:space="preserve">rendered by </w:t>
            </w:r>
            <w:r w:rsidDel="00000000" w:rsidR="00000000" w:rsidRPr="00000000">
              <w:rPr>
                <w:strike w:val="1"/>
                <w:color w:val="2e75b5"/>
                <w:rtl w:val="0"/>
              </w:rPr>
              <w:t xml:space="preserve">either the MCO's</w:t>
            </w:r>
            <w:r w:rsidDel="00000000" w:rsidR="00000000" w:rsidRPr="00000000">
              <w:rPr>
                <w:color w:val="2e75b5"/>
                <w:rtl w:val="0"/>
              </w:rPr>
              <w:t xml:space="preserve"> </w:t>
            </w:r>
            <w:r w:rsidDel="00000000" w:rsidR="00000000" w:rsidRPr="00000000">
              <w:rPr>
                <w:rtl w:val="0"/>
              </w:rPr>
              <w:t xml:space="preserve">Network or Out-of-Network Providers.</w:t>
            </w:r>
          </w:p>
        </w:tc>
      </w:tr>
      <w:tr>
        <w:trPr>
          <w:cantSplit w:val="0"/>
          <w:trHeight w:val="2223.33984375" w:hRule="atLeast"/>
          <w:tblHeader w:val="0"/>
        </w:trPr>
        <w:tc>
          <w:tcPr>
            <w:vMerge w:val="continue"/>
            <w:tcBorders>
              <w:top w:color="000000" w:space="0" w:sz="4" w:val="single"/>
              <w:left w:color="000000" w:space="0" w:sz="4" w:val="single"/>
              <w:bottom w:color="000000" w:space="0" w:sz="4" w:val="single"/>
              <w:right w:color="000000" w:space="0" w:sz="4" w:val="single"/>
            </w:tcBorders>
            <w:shd w:fill="efefef" w:val="clear"/>
          </w:tcPr>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efefef" w:val="clear"/>
            <w:tcMar>
              <w:top w:w="15.0" w:type="dxa"/>
              <w:left w:w="15.0" w:type="dxa"/>
              <w:bottom w:w="0.0" w:type="dxa"/>
              <w:right w:w="15.0" w:type="dxa"/>
            </w:tcMar>
            <w:vAlign w:val="center"/>
          </w:tcPr>
          <w:p w:rsidR="00000000" w:rsidDel="00000000" w:rsidP="00000000" w:rsidRDefault="00000000" w:rsidRPr="00000000" w14:paraId="0000007B">
            <w:pPr>
              <w:spacing w:after="0" w:before="0" w:line="240" w:lineRule="auto"/>
              <w:ind w:left="0" w:firstLine="0"/>
              <w:rPr>
                <w:rFonts w:ascii="Arial" w:cs="Arial" w:eastAsia="Arial" w:hAnsi="Arial"/>
                <w:sz w:val="22"/>
                <w:szCs w:val="22"/>
              </w:rPr>
            </w:pPr>
            <w:r w:rsidDel="00000000" w:rsidR="00000000" w:rsidRPr="00000000">
              <w:rPr>
                <w:rtl w:val="0"/>
              </w:rPr>
            </w:r>
          </w:p>
        </w:tc>
        <w:tc>
          <w:tcPr>
            <w:vMerge w:val="continue"/>
            <w:tcBorders>
              <w:top w:color="000000" w:space="0" w:sz="4" w:val="single"/>
              <w:left w:color="000000" w:space="0" w:sz="0" w:val="nil"/>
              <w:bottom w:color="000000" w:space="0" w:sz="4" w:val="single"/>
              <w:right w:color="000000" w:space="0" w:sz="4" w:val="single"/>
            </w:tcBorders>
            <w:shd w:fill="efefef" w:val="clear"/>
            <w:vAlign w:val="center"/>
          </w:tcPr>
          <w:p w:rsidR="00000000" w:rsidDel="00000000" w:rsidP="00000000" w:rsidRDefault="00000000" w:rsidRPr="00000000" w14:paraId="0000007C">
            <w:pPr>
              <w:spacing w:after="0" w:before="0" w:line="240" w:lineRule="auto"/>
              <w:ind w:left="0" w:firstLine="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fefef" w:val="clear"/>
            <w:tcMar>
              <w:top w:w="15.0" w:type="dxa"/>
              <w:left w:w="15.0" w:type="dxa"/>
              <w:bottom w:w="0.0" w:type="dxa"/>
              <w:right w:w="15.0" w:type="dxa"/>
            </w:tcMar>
            <w:vAlign w:val="center"/>
          </w:tcPr>
          <w:p w:rsidR="00000000" w:rsidDel="00000000" w:rsidP="00000000" w:rsidRDefault="00000000" w:rsidRPr="00000000" w14:paraId="0000007D">
            <w:pPr>
              <w:rPr/>
            </w:pPr>
            <w:r w:rsidDel="00000000" w:rsidR="00000000" w:rsidRPr="00000000">
              <w:rPr>
                <w:rtl w:val="0"/>
              </w:rPr>
            </w:r>
          </w:p>
          <w:p w:rsidR="00000000" w:rsidDel="00000000" w:rsidP="00000000" w:rsidRDefault="00000000" w:rsidRPr="00000000" w14:paraId="0000007E">
            <w:pPr>
              <w:rPr>
                <w:rFonts w:ascii="Arial" w:cs="Arial" w:eastAsia="Arial" w:hAnsi="Arial"/>
                <w:sz w:val="22"/>
                <w:szCs w:val="22"/>
              </w:rPr>
            </w:pPr>
            <w:r w:rsidDel="00000000" w:rsidR="00000000" w:rsidRPr="00000000">
              <w:rPr>
                <w:rtl w:val="0"/>
              </w:rPr>
              <w:t xml:space="preserve">2. Language: “</w:t>
            </w:r>
            <w:r w:rsidDel="00000000" w:rsidR="00000000" w:rsidRPr="00000000">
              <w:rPr>
                <w:color w:val="ff0000"/>
                <w:rtl w:val="0"/>
              </w:rPr>
              <w:t xml:space="preserve">For Members between the ages of 21 and 64, inpatient services for acute psychiatric conditions in an institute for </w:t>
            </w:r>
            <w:r w:rsidDel="00000000" w:rsidR="00000000" w:rsidRPr="00000000">
              <w:rPr>
                <w:color w:val="ff0000"/>
                <w:rtl w:val="0"/>
              </w:rPr>
              <w:t xml:space="preserve">mental</w:t>
            </w:r>
            <w:r w:rsidDel="00000000" w:rsidR="00000000" w:rsidRPr="00000000">
              <w:rPr>
                <w:color w:val="ff0000"/>
                <w:rtl w:val="0"/>
              </w:rPr>
              <w:t xml:space="preserve"> disease (IMD) may be provided as described in UMCM Chapter 16.</w:t>
            </w:r>
            <w:r w:rsidDel="00000000" w:rsidR="00000000" w:rsidRPr="00000000">
              <w:rPr>
                <w:rtl w:val="0"/>
              </w:rPr>
              <w:t xml:space="preserve">”  </w:t>
            </w: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efefef" w:val="clear"/>
            <w:tcMar>
              <w:top w:w="15.0" w:type="dxa"/>
              <w:left w:w="15.0" w:type="dxa"/>
              <w:bottom w:w="0.0" w:type="dxa"/>
              <w:right w:w="15.0" w:type="dxa"/>
            </w:tcMar>
            <w:vAlign w:val="center"/>
          </w:tcPr>
          <w:p w:rsidR="00000000" w:rsidDel="00000000" w:rsidP="00000000" w:rsidRDefault="00000000" w:rsidRPr="00000000" w14:paraId="0000007F">
            <w:pPr>
              <w:rPr/>
            </w:pPr>
            <w:r w:rsidDel="00000000" w:rsidR="00000000" w:rsidRPr="00000000">
              <w:rPr>
                <w:rtl w:val="0"/>
              </w:rPr>
              <w:t xml:space="preserve">2. Remove IMD language from the STAR Kids contract; the age range does not apply to this population. </w:t>
            </w:r>
          </w:p>
          <w:p w:rsidR="00000000" w:rsidDel="00000000" w:rsidP="00000000" w:rsidRDefault="00000000" w:rsidRPr="00000000" w14:paraId="00000080">
            <w:pPr>
              <w:rPr/>
            </w:pPr>
            <w:r w:rsidDel="00000000" w:rsidR="00000000" w:rsidRPr="00000000">
              <w:rPr>
                <w:rtl w:val="0"/>
              </w:rPr>
            </w:r>
          </w:p>
          <w:p w:rsidR="00000000" w:rsidDel="00000000" w:rsidP="00000000" w:rsidRDefault="00000000" w:rsidRPr="00000000" w14:paraId="00000081">
            <w:pPr>
              <w:rPr/>
            </w:pPr>
            <w:r w:rsidDel="00000000" w:rsidR="00000000" w:rsidRPr="00000000">
              <w:rPr>
                <w:rtl w:val="0"/>
              </w:rPr>
              <w:t xml:space="preserve">2. Explain how this is not a parity concern. </w:t>
            </w:r>
          </w:p>
        </w:tc>
      </w:tr>
      <w:tr>
        <w:trPr>
          <w:cantSplit w:val="0"/>
          <w:trHeight w:val="51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2">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504"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5.0" w:type="dxa"/>
              <w:left w:w="15.0" w:type="dxa"/>
              <w:bottom w:w="0.0" w:type="dxa"/>
              <w:right w:w="15.0" w:type="dxa"/>
            </w:tcMar>
            <w:vAlign w:val="center"/>
          </w:tcPr>
          <w:p w:rsidR="00000000" w:rsidDel="00000000" w:rsidP="00000000" w:rsidRDefault="00000000" w:rsidRPr="00000000" w14:paraId="00000083">
            <w:pPr>
              <w:rPr>
                <w:rFonts w:ascii="Arial" w:cs="Arial" w:eastAsia="Arial" w:hAnsi="Arial"/>
                <w:sz w:val="22"/>
                <w:szCs w:val="22"/>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84">
            <w:pPr>
              <w:rPr/>
            </w:pPr>
            <w:r w:rsidDel="00000000" w:rsidR="00000000" w:rsidRPr="00000000">
              <w:rPr>
                <w:rtl w:val="0"/>
              </w:rPr>
              <w:t xml:space="preserve">8.1.21 (UMCC) UMCC, and 8.1.17 (SK) </w:t>
            </w:r>
          </w:p>
        </w:tc>
        <w:tc>
          <w:tcPr>
            <w:tcBorders>
              <w:top w:color="000000" w:space="0" w:sz="4" w:val="single"/>
              <w:left w:color="000000" w:space="0" w:sz="4" w:val="single"/>
              <w:bottom w:color="000000" w:space="0" w:sz="4" w:val="single"/>
              <w:right w:color="000000" w:space="0" w:sz="4" w:val="single"/>
            </w:tcBorders>
            <w:tcMar>
              <w:top w:w="15.0" w:type="dxa"/>
              <w:left w:w="15.0" w:type="dxa"/>
              <w:bottom w:w="0.0" w:type="dxa"/>
              <w:right w:w="15.0" w:type="dxa"/>
            </w:tcMar>
            <w:vAlign w:val="center"/>
          </w:tcPr>
          <w:p w:rsidR="00000000" w:rsidDel="00000000" w:rsidP="00000000" w:rsidRDefault="00000000" w:rsidRPr="00000000" w14:paraId="00000085">
            <w:pPr>
              <w:rPr/>
            </w:pPr>
            <w:r w:rsidDel="00000000" w:rsidR="00000000" w:rsidRPr="00000000">
              <w:rPr>
                <w:rtl w:val="0"/>
              </w:rPr>
              <w:t xml:space="preserve">1. Language: “The MCO and its Subcontractor must disclose to HHSC </w:t>
            </w:r>
            <w:r w:rsidDel="00000000" w:rsidR="00000000" w:rsidRPr="00000000">
              <w:rPr>
                <w:color w:val="ff0000"/>
                <w:rtl w:val="0"/>
              </w:rPr>
              <w:t xml:space="preserve">and pharmacy providers</w:t>
            </w:r>
            <w:r w:rsidDel="00000000" w:rsidR="00000000" w:rsidRPr="00000000">
              <w:rPr>
                <w:rtl w:val="0"/>
              </w:rPr>
              <w:t xml:space="preserve"> the reimbursement rates and payment methodology used to develop the rates specific to the pharmacy provider during the contract negotiation between the PBM and pharmacy provider.” </w:t>
            </w:r>
          </w:p>
          <w:p w:rsidR="00000000" w:rsidDel="00000000" w:rsidP="00000000" w:rsidRDefault="00000000" w:rsidRPr="00000000" w14:paraId="00000086">
            <w:pPr>
              <w:numPr>
                <w:ilvl w:val="0"/>
                <w:numId w:val="17"/>
              </w:numPr>
              <w:ind w:left="720" w:hanging="360"/>
            </w:pPr>
            <w:r w:rsidDel="00000000" w:rsidR="00000000" w:rsidRPr="00000000">
              <w:rPr>
                <w:rtl w:val="0"/>
              </w:rPr>
              <w:t xml:space="preserve">This is an overreach as the pharmacy and PBM share the contract and have agreed upon rates. </w:t>
            </w:r>
          </w:p>
          <w:p w:rsidR="00000000" w:rsidDel="00000000" w:rsidP="00000000" w:rsidRDefault="00000000" w:rsidRPr="00000000" w14:paraId="00000087">
            <w:pPr>
              <w:numPr>
                <w:ilvl w:val="0"/>
                <w:numId w:val="17"/>
              </w:numPr>
              <w:ind w:left="720" w:hanging="360"/>
            </w:pPr>
            <w:r w:rsidDel="00000000" w:rsidR="00000000" w:rsidRPr="00000000">
              <w:rPr>
                <w:rtl w:val="0"/>
              </w:rPr>
              <w:t xml:space="preserve">There is also a process for pharmacies to appeal reimbursement rates. This should be reviewed by the PBM stakeholders for impact.</w:t>
            </w:r>
          </w:p>
        </w:tc>
        <w:tc>
          <w:tcPr>
            <w:tcBorders>
              <w:top w:color="000000" w:space="0" w:sz="4" w:val="single"/>
              <w:left w:color="000000" w:space="0" w:sz="0" w:val="nil"/>
              <w:bottom w:color="000000" w:space="0" w:sz="4" w:val="single"/>
              <w:right w:color="000000" w:space="0" w:sz="4" w:val="single"/>
            </w:tcBorders>
            <w:tcMar>
              <w:top w:w="15.0" w:type="dxa"/>
              <w:left w:w="15.0" w:type="dxa"/>
              <w:bottom w:w="0.0" w:type="dxa"/>
              <w:right w:w="15.0" w:type="dxa"/>
            </w:tcMar>
            <w:vAlign w:val="center"/>
          </w:tcPr>
          <w:p w:rsidR="00000000" w:rsidDel="00000000" w:rsidP="00000000" w:rsidRDefault="00000000" w:rsidRPr="00000000" w14:paraId="00000088">
            <w:pPr>
              <w:rPr/>
            </w:pPr>
            <w:r w:rsidDel="00000000" w:rsidR="00000000" w:rsidRPr="00000000">
              <w:rPr>
                <w:rtl w:val="0"/>
              </w:rPr>
              <w:t xml:space="preserve">1. Do not add “and pharmacy providers” to this section. </w:t>
            </w:r>
          </w:p>
        </w:tc>
      </w:tr>
      <w:tr>
        <w:trPr>
          <w:cantSplit w:val="0"/>
          <w:trHeight w:val="510" w:hRule="atLeast"/>
          <w:tblHeader w:val="0"/>
        </w:trPr>
        <w:tc>
          <w:tcPr>
            <w:tcBorders>
              <w:top w:color="000000" w:space="0" w:sz="4" w:val="single"/>
              <w:left w:color="000000" w:space="0" w:sz="4" w:val="single"/>
              <w:bottom w:color="000000" w:space="0" w:sz="4" w:val="single"/>
              <w:right w:color="000000" w:space="0" w:sz="4" w:val="single"/>
            </w:tcBorders>
            <w:shd w:fill="f3f3f3" w:val="clear"/>
          </w:tcPr>
          <w:p w:rsidR="00000000" w:rsidDel="00000000" w:rsidP="00000000" w:rsidRDefault="00000000" w:rsidRPr="00000000" w14:paraId="00000089">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504"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3f3f3" w:val="clear"/>
            <w:tcMar>
              <w:top w:w="15.0" w:type="dxa"/>
              <w:left w:w="15.0" w:type="dxa"/>
              <w:bottom w:w="0.0" w:type="dxa"/>
              <w:right w:w="15.0" w:type="dxa"/>
            </w:tcMar>
            <w:vAlign w:val="center"/>
          </w:tcPr>
          <w:p w:rsidR="00000000" w:rsidDel="00000000" w:rsidP="00000000" w:rsidRDefault="00000000" w:rsidRPr="00000000" w14:paraId="0000008A">
            <w:pPr>
              <w:rPr>
                <w:rFonts w:ascii="Arial" w:cs="Arial" w:eastAsia="Arial" w:hAnsi="Arial"/>
                <w:sz w:val="22"/>
                <w:szCs w:val="22"/>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f3f3f3" w:val="clear"/>
            <w:vAlign w:val="center"/>
          </w:tcPr>
          <w:p w:rsidR="00000000" w:rsidDel="00000000" w:rsidP="00000000" w:rsidRDefault="00000000" w:rsidRPr="00000000" w14:paraId="0000008B">
            <w:pPr>
              <w:rPr/>
            </w:pPr>
            <w:r w:rsidDel="00000000" w:rsidR="00000000" w:rsidRPr="00000000">
              <w:rPr>
                <w:rtl w:val="0"/>
              </w:rPr>
              <w:t xml:space="preserve">8.1.38.8 (SK) ISP Requirements </w:t>
            </w:r>
          </w:p>
        </w:tc>
        <w:tc>
          <w:tcPr>
            <w:tcBorders>
              <w:top w:color="000000" w:space="0" w:sz="4" w:val="single"/>
              <w:left w:color="000000" w:space="0" w:sz="4" w:val="single"/>
              <w:bottom w:color="000000" w:space="0" w:sz="4" w:val="single"/>
              <w:right w:color="000000" w:space="0" w:sz="4" w:val="single"/>
            </w:tcBorders>
            <w:shd w:fill="f3f3f3" w:val="clear"/>
            <w:tcMar>
              <w:top w:w="15.0" w:type="dxa"/>
              <w:left w:w="15.0" w:type="dxa"/>
              <w:bottom w:w="0.0" w:type="dxa"/>
              <w:right w:w="15.0" w:type="dxa"/>
            </w:tcMar>
            <w:vAlign w:val="center"/>
          </w:tcPr>
          <w:p w:rsidR="00000000" w:rsidDel="00000000" w:rsidP="00000000" w:rsidRDefault="00000000" w:rsidRPr="00000000" w14:paraId="0000008C">
            <w:pPr>
              <w:rPr/>
            </w:pPr>
            <w:r w:rsidDel="00000000" w:rsidR="00000000" w:rsidRPr="00000000">
              <w:rPr>
                <w:rtl w:val="0"/>
              </w:rPr>
              <w:t xml:space="preserve">1. Language: The MCO must update each Member's ISP… </w:t>
            </w:r>
            <w:r w:rsidDel="00000000" w:rsidR="00000000" w:rsidRPr="00000000">
              <w:rPr>
                <w:color w:val="ff0000"/>
                <w:rtl w:val="0"/>
              </w:rPr>
              <w:t xml:space="preserve">following a change in previously identified need(s) or newly identified need(s) that the member is anticipated to access during the ISP year</w:t>
            </w:r>
            <w:r w:rsidDel="00000000" w:rsidR="00000000" w:rsidRPr="00000000">
              <w:rPr>
                <w:rtl w:val="0"/>
              </w:rPr>
              <w:t xml:space="preserve">; </w:t>
            </w:r>
          </w:p>
          <w:p w:rsidR="00000000" w:rsidDel="00000000" w:rsidP="00000000" w:rsidRDefault="00000000" w:rsidRPr="00000000" w14:paraId="0000008D">
            <w:pPr>
              <w:numPr>
                <w:ilvl w:val="0"/>
                <w:numId w:val="21"/>
              </w:numPr>
              <w:ind w:left="720" w:hanging="360"/>
              <w:rPr>
                <w:u w:val="none"/>
              </w:rPr>
            </w:pPr>
            <w:r w:rsidDel="00000000" w:rsidR="00000000" w:rsidRPr="00000000">
              <w:rPr>
                <w:rtl w:val="0"/>
              </w:rPr>
              <w:t xml:space="preserve">Concern around the term “anticipated”. “Anticipated” services do not adhere to current authorization/approval/review standards. </w:t>
            </w:r>
          </w:p>
          <w:p w:rsidR="00000000" w:rsidDel="00000000" w:rsidP="00000000" w:rsidRDefault="00000000" w:rsidRPr="00000000" w14:paraId="0000008E">
            <w:pPr>
              <w:numPr>
                <w:ilvl w:val="0"/>
                <w:numId w:val="21"/>
              </w:numPr>
              <w:ind w:left="720" w:hanging="360"/>
              <w:rPr>
                <w:u w:val="none"/>
              </w:rPr>
            </w:pPr>
            <w:r w:rsidDel="00000000" w:rsidR="00000000" w:rsidRPr="00000000">
              <w:rPr>
                <w:rtl w:val="0"/>
              </w:rPr>
              <w:t xml:space="preserve">Services that a state/MCO may furnish are outlined in </w:t>
            </w:r>
            <w:hyperlink r:id="rId13">
              <w:r w:rsidDel="00000000" w:rsidR="00000000" w:rsidRPr="00000000">
                <w:rPr>
                  <w:color w:val="1155cc"/>
                  <w:u w:val="single"/>
                  <w:rtl w:val="0"/>
                </w:rPr>
                <w:t xml:space="preserve">42 CFR § 438.210</w:t>
              </w:r>
            </w:hyperlink>
            <w:r w:rsidDel="00000000" w:rsidR="00000000" w:rsidRPr="00000000">
              <w:rPr>
                <w:rtl w:val="0"/>
              </w:rPr>
              <w:t xml:space="preserve">. “Anticipated” services do not appear to be covered, and may contradict with what CFR defines as allowable. </w:t>
            </w:r>
          </w:p>
        </w:tc>
        <w:tc>
          <w:tcPr>
            <w:tcBorders>
              <w:top w:color="000000" w:space="0" w:sz="4" w:val="single"/>
              <w:left w:color="000000" w:space="0" w:sz="0" w:val="nil"/>
              <w:bottom w:color="000000" w:space="0" w:sz="4" w:val="single"/>
              <w:right w:color="000000" w:space="0" w:sz="4" w:val="single"/>
            </w:tcBorders>
            <w:shd w:fill="f3f3f3" w:val="clear"/>
            <w:tcMar>
              <w:top w:w="15.0" w:type="dxa"/>
              <w:left w:w="15.0" w:type="dxa"/>
              <w:bottom w:w="0.0" w:type="dxa"/>
              <w:right w:w="15.0" w:type="dxa"/>
            </w:tcMar>
            <w:vAlign w:val="center"/>
          </w:tcPr>
          <w:p w:rsidR="00000000" w:rsidDel="00000000" w:rsidP="00000000" w:rsidRDefault="00000000" w:rsidRPr="00000000" w14:paraId="0000008F">
            <w:pPr>
              <w:rPr/>
            </w:pPr>
            <w:r w:rsidDel="00000000" w:rsidR="00000000" w:rsidRPr="00000000">
              <w:rPr>
                <w:rFonts w:ascii="Arial" w:cs="Arial" w:eastAsia="Arial" w:hAnsi="Arial"/>
                <w:sz w:val="22"/>
                <w:szCs w:val="22"/>
                <w:rtl w:val="0"/>
              </w:rPr>
              <w:t xml:space="preserve">1</w:t>
            </w:r>
            <w:r w:rsidDel="00000000" w:rsidR="00000000" w:rsidRPr="00000000">
              <w:rPr>
                <w:rtl w:val="0"/>
              </w:rPr>
              <w:t xml:space="preserve">. Do not add “anticipated”. This will help avoid ambiguity as to whether items/services not yet determined to be needed and/or desired (by the member/family) should be placed on the service plan.</w:t>
            </w:r>
          </w:p>
          <w:p w:rsidR="00000000" w:rsidDel="00000000" w:rsidP="00000000" w:rsidRDefault="00000000" w:rsidRPr="00000000" w14:paraId="00000090">
            <w:pPr>
              <w:rPr>
                <w:rFonts w:ascii="Arial" w:cs="Arial" w:eastAsia="Arial" w:hAnsi="Arial"/>
                <w:sz w:val="22"/>
                <w:szCs w:val="22"/>
              </w:rPr>
            </w:pPr>
            <w:r w:rsidDel="00000000" w:rsidR="00000000" w:rsidRPr="00000000">
              <w:rPr>
                <w:rtl w:val="0"/>
              </w:rPr>
            </w:r>
          </w:p>
        </w:tc>
      </w:tr>
      <w:tr>
        <w:trPr>
          <w:cantSplit w:val="0"/>
          <w:trHeight w:val="1249.39453125" w:hRule="atLeast"/>
          <w:tblHeader w:val="0"/>
        </w:trPr>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1">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504"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tcMar>
              <w:top w:w="15.0" w:type="dxa"/>
              <w:left w:w="15.0" w:type="dxa"/>
              <w:bottom w:w="0.0" w:type="dxa"/>
              <w:right w:w="15.0" w:type="dxa"/>
            </w:tcMar>
            <w:vAlign w:val="center"/>
          </w:tcPr>
          <w:p w:rsidR="00000000" w:rsidDel="00000000" w:rsidP="00000000" w:rsidRDefault="00000000" w:rsidRPr="00000000" w14:paraId="00000092">
            <w:pPr>
              <w:rPr>
                <w:rFonts w:ascii="Arial" w:cs="Arial" w:eastAsia="Arial" w:hAnsi="Arial"/>
                <w:sz w:val="22"/>
                <w:szCs w:val="22"/>
              </w:rPr>
            </w:pPr>
            <w:r w:rsidDel="00000000" w:rsidR="00000000" w:rsidRPr="00000000">
              <w:rPr>
                <w:rtl w:val="0"/>
              </w:rPr>
            </w:r>
          </w:p>
        </w:tc>
        <w:tc>
          <w:tcPr>
            <w:vMerge w:val="restart"/>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93">
            <w:pPr>
              <w:rPr>
                <w:rFonts w:ascii="Arial" w:cs="Arial" w:eastAsia="Arial" w:hAnsi="Arial"/>
                <w:sz w:val="22"/>
                <w:szCs w:val="22"/>
              </w:rPr>
            </w:pPr>
            <w:r w:rsidDel="00000000" w:rsidR="00000000" w:rsidRPr="00000000">
              <w:rPr>
                <w:rtl w:val="0"/>
              </w:rPr>
              <w:t xml:space="preserve">LD Matrix (UMCC and SK)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5.0" w:type="dxa"/>
              <w:left w:w="15.0" w:type="dxa"/>
              <w:bottom w:w="0.0" w:type="dxa"/>
              <w:right w:w="15.0" w:type="dxa"/>
            </w:tcMar>
            <w:vAlign w:val="center"/>
          </w:tcPr>
          <w:p w:rsidR="00000000" w:rsidDel="00000000" w:rsidP="00000000" w:rsidRDefault="00000000" w:rsidRPr="00000000" w14:paraId="00000094">
            <w:pPr>
              <w:rPr>
                <w:rFonts w:ascii="Arial" w:cs="Arial" w:eastAsia="Arial" w:hAnsi="Arial"/>
                <w:sz w:val="22"/>
                <w:szCs w:val="22"/>
              </w:rPr>
            </w:pPr>
            <w:r w:rsidDel="00000000" w:rsidR="00000000" w:rsidRPr="00000000">
              <w:rPr>
                <w:rtl w:val="0"/>
              </w:rPr>
              <w:t xml:space="preserve">1. Concern: IG-7 is modified to ensure OIG has access to complete, unredacted information when that information is used or relied upon by an MCO to support a position</w:t>
            </w: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tcMar>
              <w:top w:w="15.0" w:type="dxa"/>
              <w:left w:w="15.0" w:type="dxa"/>
              <w:bottom w:w="0.0" w:type="dxa"/>
              <w:right w:w="15.0" w:type="dxa"/>
            </w:tcMar>
            <w:vAlign w:val="center"/>
          </w:tcPr>
          <w:p w:rsidR="00000000" w:rsidDel="00000000" w:rsidP="00000000" w:rsidRDefault="00000000" w:rsidRPr="00000000" w14:paraId="00000095">
            <w:pPr>
              <w:rPr/>
            </w:pPr>
            <w:r w:rsidDel="00000000" w:rsidR="00000000" w:rsidRPr="00000000">
              <w:rPr>
                <w:rtl w:val="0"/>
              </w:rPr>
              <w:t xml:space="preserve">1. The MCOs should not face penalty if ad hoc reports aren’t submitted within an HHSC-delineated timeframe if they’ve requested more time, and provide justification as to why more time was needed. </w:t>
            </w:r>
          </w:p>
          <w:p w:rsidR="00000000" w:rsidDel="00000000" w:rsidP="00000000" w:rsidRDefault="00000000" w:rsidRPr="00000000" w14:paraId="00000096">
            <w:pPr>
              <w:numPr>
                <w:ilvl w:val="0"/>
                <w:numId w:val="22"/>
              </w:numPr>
              <w:ind w:left="720" w:hanging="360"/>
            </w:pPr>
            <w:r w:rsidDel="00000000" w:rsidR="00000000" w:rsidRPr="00000000">
              <w:rPr>
                <w:rtl w:val="0"/>
              </w:rPr>
              <w:t xml:space="preserve">This will ensure MCOs aren’t forced to rush completion of reports, and have the time they need to compile and check data to ensure accurate submissions. </w:t>
            </w:r>
            <w:r w:rsidDel="00000000" w:rsidR="00000000" w:rsidRPr="00000000">
              <w:rPr>
                <w:rtl w:val="0"/>
              </w:rPr>
            </w:r>
          </w:p>
        </w:tc>
      </w:tr>
      <w:tr>
        <w:trPr>
          <w:cantSplit w:val="0"/>
          <w:trHeight w:val="1249.39453125"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15.0" w:type="dxa"/>
              <w:left w:w="15.0" w:type="dxa"/>
              <w:bottom w:w="0.0" w:type="dxa"/>
              <w:right w:w="15.0" w:type="dxa"/>
            </w:tcMar>
            <w:vAlign w:val="center"/>
          </w:tcPr>
          <w:p w:rsidR="00000000" w:rsidDel="00000000" w:rsidP="00000000" w:rsidRDefault="00000000" w:rsidRPr="00000000" w14:paraId="00000098">
            <w:pPr>
              <w:spacing w:after="0" w:before="0" w:line="240" w:lineRule="auto"/>
              <w:ind w:left="0" w:firstLine="0"/>
              <w:rPr>
                <w:rFonts w:ascii="Arial" w:cs="Arial" w:eastAsia="Arial" w:hAnsi="Arial"/>
                <w:sz w:val="22"/>
                <w:szCs w:val="22"/>
              </w:rPr>
            </w:pPr>
            <w:r w:rsidDel="00000000" w:rsidR="00000000" w:rsidRPr="00000000">
              <w:rPr>
                <w:rtl w:val="0"/>
              </w:rPr>
            </w:r>
          </w:p>
        </w:tc>
        <w:tc>
          <w:tcPr>
            <w:vMerge w:val="continue"/>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99">
            <w:pPr>
              <w:spacing w:after="0" w:before="0" w:line="240" w:lineRule="auto"/>
              <w:ind w:left="0" w:firstLine="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5.0" w:type="dxa"/>
              <w:left w:w="15.0" w:type="dxa"/>
              <w:bottom w:w="0.0" w:type="dxa"/>
              <w:right w:w="15.0" w:type="dxa"/>
            </w:tcMar>
            <w:vAlign w:val="center"/>
          </w:tcPr>
          <w:p w:rsidR="00000000" w:rsidDel="00000000" w:rsidP="00000000" w:rsidRDefault="00000000" w:rsidRPr="00000000" w14:paraId="0000009A">
            <w:pPr>
              <w:rPr/>
            </w:pPr>
            <w:r w:rsidDel="00000000" w:rsidR="00000000" w:rsidRPr="00000000">
              <w:rPr>
                <w:rtl w:val="0"/>
              </w:rPr>
              <w:t xml:space="preserve">2. PH-6: The MCO must maintain a minimum 95% compliance rate utilization of preferred drugs</w:t>
            </w:r>
          </w:p>
          <w:p w:rsidR="00000000" w:rsidDel="00000000" w:rsidP="00000000" w:rsidRDefault="00000000" w:rsidRPr="00000000" w14:paraId="0000009B">
            <w:pPr>
              <w:rPr/>
            </w:pPr>
            <w:r w:rsidDel="00000000" w:rsidR="00000000" w:rsidRPr="00000000">
              <w:rPr>
                <w:rtl w:val="0"/>
              </w:rPr>
              <w:t xml:space="preserve">in with the preferred drug PDL requirements for each therapeutic class on the PDL.</w:t>
            </w:r>
          </w:p>
        </w:tc>
        <w:tc>
          <w:tcPr>
            <w:tcBorders>
              <w:top w:color="000000" w:space="0" w:sz="4" w:val="single"/>
              <w:left w:color="000000" w:space="0" w:sz="0" w:val="nil"/>
              <w:bottom w:color="000000" w:space="0" w:sz="4" w:val="single"/>
              <w:right w:color="000000" w:space="0" w:sz="4" w:val="single"/>
            </w:tcBorders>
            <w:tcMar>
              <w:top w:w="15.0" w:type="dxa"/>
              <w:left w:w="15.0" w:type="dxa"/>
              <w:bottom w:w="0.0" w:type="dxa"/>
              <w:right w:w="15.0" w:type="dxa"/>
            </w:tcMar>
            <w:vAlign w:val="center"/>
          </w:tcPr>
          <w:p w:rsidR="00000000" w:rsidDel="00000000" w:rsidP="00000000" w:rsidRDefault="00000000" w:rsidRPr="00000000" w14:paraId="0000009C">
            <w:pPr>
              <w:rPr/>
            </w:pPr>
            <w:r w:rsidDel="00000000" w:rsidR="00000000" w:rsidRPr="00000000">
              <w:rPr>
                <w:rtl w:val="0"/>
              </w:rPr>
              <w:t xml:space="preserve">2. Remove this item from the LD Matrix, as per discussions between VDP and health plans. </w:t>
            </w:r>
          </w:p>
        </w:tc>
      </w:tr>
      <w:tr>
        <w:trPr>
          <w:cantSplit w:val="0"/>
          <w:trHeight w:val="51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D">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504"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5.0" w:type="dxa"/>
              <w:left w:w="15.0" w:type="dxa"/>
              <w:bottom w:w="0.0" w:type="dxa"/>
              <w:right w:w="15.0" w:type="dxa"/>
            </w:tcMar>
            <w:vAlign w:val="center"/>
          </w:tcPr>
          <w:p w:rsidR="00000000" w:rsidDel="00000000" w:rsidP="00000000" w:rsidRDefault="00000000" w:rsidRPr="00000000" w14:paraId="0000009E">
            <w:pPr>
              <w:rPr>
                <w:rFonts w:ascii="Arial" w:cs="Arial" w:eastAsia="Arial" w:hAnsi="Arial"/>
                <w:sz w:val="22"/>
                <w:szCs w:val="22"/>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9F">
            <w:pPr>
              <w:jc w:val="center"/>
              <w:rPr>
                <w:rFonts w:ascii="Arial" w:cs="Arial" w:eastAsia="Arial" w:hAnsi="Arial"/>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5.0" w:type="dxa"/>
              <w:left w:w="15.0" w:type="dxa"/>
              <w:bottom w:w="0.0" w:type="dxa"/>
              <w:right w:w="15.0" w:type="dxa"/>
            </w:tcMar>
            <w:vAlign w:val="center"/>
          </w:tcPr>
          <w:p w:rsidR="00000000" w:rsidDel="00000000" w:rsidP="00000000" w:rsidRDefault="00000000" w:rsidRPr="00000000" w14:paraId="000000A0">
            <w:pPr>
              <w:rPr>
                <w:rFonts w:ascii="Arial" w:cs="Arial" w:eastAsia="Arial" w:hAnsi="Arial"/>
                <w:sz w:val="22"/>
                <w:szCs w:val="22"/>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tcMar>
              <w:top w:w="15.0" w:type="dxa"/>
              <w:left w:w="15.0" w:type="dxa"/>
              <w:bottom w:w="0.0" w:type="dxa"/>
              <w:right w:w="15.0" w:type="dxa"/>
            </w:tcMar>
            <w:vAlign w:val="center"/>
          </w:tcPr>
          <w:p w:rsidR="00000000" w:rsidDel="00000000" w:rsidP="00000000" w:rsidRDefault="00000000" w:rsidRPr="00000000" w14:paraId="000000A1">
            <w:pPr>
              <w:rPr>
                <w:rFonts w:ascii="Arial" w:cs="Arial" w:eastAsia="Arial" w:hAnsi="Arial"/>
                <w:sz w:val="22"/>
                <w:szCs w:val="22"/>
              </w:rPr>
            </w:pPr>
            <w:r w:rsidDel="00000000" w:rsidR="00000000" w:rsidRPr="00000000">
              <w:rPr>
                <w:rtl w:val="0"/>
              </w:rPr>
            </w:r>
          </w:p>
        </w:tc>
      </w:tr>
    </w:tbl>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sectPr>
      <w:headerReference r:id="rId14" w:type="default"/>
      <w:footerReference r:id="rId15" w:type="default"/>
      <w:pgSz w:h="12240" w:w="15840" w:orient="landscape"/>
      <w:pgMar w:bottom="1800" w:top="1800" w:left="1440" w:right="1440" w:header="720" w:footer="72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comment w:author="Camryn Burner" w:id="0" w:date="2023-04-28T15:11:14Z">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Plans could add something here around cost of PHE mailers.</w:t>
      </w:r>
    </w:p>
  </w:comment>
</w:comments>
</file>

<file path=word/commentsExtended.xml><?xml version="1.0" encoding="utf-8"?>
<w15:commentsEx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15:commentEx w15:paraId="000000A8" w15:done="0"/>
</w15:commentsEx>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center" w:leader="none" w:pos="6480"/>
        <w:tab w:val="right" w:leader="none" w:pos="12780"/>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of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fldChar w:fldCharType="begin"/>
      <w:instrText xml:space="preserve">NUMPAGES</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COMMENT FORM</w:t>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Return comments by COB 05/0</w:t>
    </w:r>
    <w:r w:rsidDel="00000000" w:rsidR="00000000" w:rsidRPr="00000000">
      <w:rPr>
        <w:b w:val="1"/>
        <w:sz w:val="28"/>
        <w:szCs w:val="28"/>
        <w:rtl w:val="0"/>
      </w:rPr>
      <w:t xml:space="preserve">9</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/2023</w:t>
    </w:r>
  </w:p>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pPr>
    <w:rPr>
      <w:rFonts w:ascii="Arial" w:cs="Arial" w:eastAsia="Arial" w:hAnsi="Arial"/>
      <w:i w:val="1"/>
    </w:rPr>
  </w:style>
  <w:style w:type="paragraph" w:styleId="Heading2">
    <w:name w:val="heading 2"/>
    <w:basedOn w:val="Normal"/>
    <w:next w:val="Normal"/>
    <w:pPr>
      <w:keepNext w:val="1"/>
      <w:jc w:val="center"/>
    </w:pPr>
    <w:rPr>
      <w:rFonts w:ascii="Arial" w:cs="Arial" w:eastAsia="Arial" w:hAnsi="Arial"/>
      <w:b w:val="1"/>
    </w:rPr>
  </w:style>
  <w:style w:type="paragraph" w:styleId="Heading3">
    <w:name w:val="heading 3"/>
    <w:basedOn w:val="Normal"/>
    <w:next w:val="Normal"/>
    <w:pPr>
      <w:keepNext w:val="1"/>
      <w:ind w:left="-15" w:firstLine="15"/>
    </w:pPr>
    <w:rPr>
      <w:rFonts w:ascii="Arial" w:cs="Arial" w:eastAsia="Arial" w:hAnsi="Arial"/>
      <w:i w:val="1"/>
      <w:color w:val="ff0000"/>
      <w:sz w:val="20"/>
      <w:szCs w:val="20"/>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Pr>
      <w:sz w:val="24"/>
      <w:szCs w:val="24"/>
    </w:rPr>
  </w:style>
  <w:style w:type="paragraph" w:styleId="Heading1">
    <w:name w:val="heading 1"/>
    <w:basedOn w:val="Normal"/>
    <w:next w:val="Normal"/>
    <w:qFormat w:val="1"/>
    <w:pPr>
      <w:keepNext w:val="1"/>
      <w:outlineLvl w:val="0"/>
    </w:pPr>
    <w:rPr>
      <w:rFonts w:ascii="Arial" w:cs="Arial" w:hAnsi="Arial"/>
      <w:i w:val="1"/>
      <w:iCs w:val="1"/>
      <w:szCs w:val="20"/>
    </w:rPr>
  </w:style>
  <w:style w:type="paragraph" w:styleId="Heading2">
    <w:name w:val="heading 2"/>
    <w:basedOn w:val="Normal"/>
    <w:next w:val="Normal"/>
    <w:qFormat w:val="1"/>
    <w:pPr>
      <w:keepNext w:val="1"/>
      <w:jc w:val="center"/>
      <w:outlineLvl w:val="1"/>
    </w:pPr>
    <w:rPr>
      <w:rFonts w:ascii="Arial" w:cs="Arial" w:hAnsi="Arial"/>
      <w:b w:val="1"/>
      <w:bCs w:val="1"/>
      <w:szCs w:val="20"/>
    </w:rPr>
  </w:style>
  <w:style w:type="paragraph" w:styleId="Heading3">
    <w:name w:val="heading 3"/>
    <w:basedOn w:val="Normal"/>
    <w:next w:val="Normal"/>
    <w:qFormat w:val="1"/>
    <w:pPr>
      <w:keepNext w:val="1"/>
      <w:ind w:left="-15" w:firstLine="15"/>
      <w:outlineLvl w:val="2"/>
    </w:pPr>
    <w:rPr>
      <w:rFonts w:ascii="Arial" w:cs="Arial" w:hAnsi="Arial"/>
      <w:i w:val="1"/>
      <w:iCs w:val="1"/>
      <w:color w:val="ff0000"/>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odyText">
    <w:name w:val="Body Text"/>
    <w:basedOn w:val="Normal"/>
    <w:pPr>
      <w:jc w:val="center"/>
    </w:pPr>
    <w:rPr>
      <w:rFonts w:ascii="Arial" w:cs="Arial" w:hAnsi="Arial"/>
      <w:b w:val="1"/>
      <w:bCs w:val="1"/>
      <w:szCs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ListParagraph">
    <w:name w:val="List Paragraph"/>
    <w:basedOn w:val="Normal"/>
    <w:uiPriority w:val="34"/>
    <w:qFormat w:val="1"/>
    <w:rsid w:val="00D43F99"/>
    <w:pPr>
      <w:ind w:left="720"/>
      <w:contextualSpacing w:val="1"/>
    </w:pPr>
  </w:style>
  <w:style w:type="paragraph" w:styleId="Revision">
    <w:name w:val="Revision"/>
    <w:hidden w:val="1"/>
    <w:uiPriority w:val="99"/>
    <w:semiHidden w:val="1"/>
    <w:rsid w:val="00596404"/>
    <w:rPr>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statutes.capitol.texas.gov/Docs/IN/htm/IN.4201.htm" TargetMode="External"/><Relationship Id="rId10" Type="http://schemas.openxmlformats.org/officeDocument/2006/relationships/hyperlink" Target="https://www.lbb.texas.gov/Documents/GAA/General_Appropriations_Act_2022_2023.pdf" TargetMode="External"/><Relationship Id="rId13" Type="http://schemas.openxmlformats.org/officeDocument/2006/relationships/hyperlink" Target="https://www.govinfo.gov/content/pkg/CFR-2011-title42-vol4/xml/CFR-2011-title42-vol4-sec438-210.xml" TargetMode="External"/><Relationship Id="rId12" Type="http://schemas.openxmlformats.org/officeDocument/2006/relationships/hyperlink" Target="https://www.ecfr.gov/current/title-42/chapter-IV/subchapter-C/part-438/subpart-C/section-438.100" TargetMode="External"/><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hyperlink" Target="https://www.lbb.texas.gov/Documents/GAA/General_Appropriations_Act_2022_2023.pdf" TargetMode="External"/><Relationship Id="rId15" Type="http://schemas.openxmlformats.org/officeDocument/2006/relationships/footer" Target="footer1.xml"/><Relationship Id="rId14" Type="http://schemas.openxmlformats.org/officeDocument/2006/relationships/header" Target="head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mjvgbo/i9COyrn+Lg922QuEItEw==">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2020-05-28T14:18:00Z</dcterms:created>
  <dc:creator>jmelton</dc:creator>
</cp:coreProperties>
</file>